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AA6E" w14:textId="24FB981D" w:rsidR="00421A1E" w:rsidRDefault="006F31C6" w:rsidP="0029316B">
      <w:pPr>
        <w:jc w:val="center"/>
        <w:rPr>
          <w:rFonts w:ascii="Arial" w:hAnsi="Arial" w:cs="Arial"/>
          <w:b/>
          <w:bCs/>
        </w:rPr>
      </w:pPr>
      <w:r>
        <w:rPr>
          <w:rFonts w:ascii="Arial" w:hAnsi="Arial" w:cs="Arial"/>
          <w:b/>
          <w:bCs/>
        </w:rPr>
        <w:t>Georgia Genomics and Bioinformatics Core Lab</w:t>
      </w:r>
    </w:p>
    <w:p w14:paraId="166860FF" w14:textId="5B90F841" w:rsidR="006F29FE" w:rsidRPr="0029316B" w:rsidRDefault="006F29FE" w:rsidP="0029316B">
      <w:pPr>
        <w:jc w:val="center"/>
        <w:rPr>
          <w:rFonts w:ascii="Arial" w:hAnsi="Arial" w:cs="Arial"/>
          <w:b/>
          <w:bCs/>
        </w:rPr>
      </w:pPr>
      <w:r w:rsidRPr="0029316B">
        <w:rPr>
          <w:rFonts w:ascii="Arial" w:hAnsi="Arial" w:cs="Arial"/>
          <w:b/>
          <w:bCs/>
        </w:rPr>
        <w:t>Facilities, Equipment, and Other Resources</w:t>
      </w:r>
    </w:p>
    <w:p w14:paraId="65CA90DB" w14:textId="77777777" w:rsidR="006F29FE" w:rsidRDefault="006F29FE" w:rsidP="006F29FE">
      <w:pPr>
        <w:rPr>
          <w:rFonts w:ascii="Arial" w:hAnsi="Arial" w:cs="Arial"/>
          <w:color w:val="FF0000"/>
          <w:sz w:val="22"/>
          <w:szCs w:val="22"/>
        </w:rPr>
      </w:pPr>
    </w:p>
    <w:p w14:paraId="2FE1ECEC" w14:textId="1169B279" w:rsidR="00CD27D9" w:rsidRPr="006F29FE" w:rsidRDefault="006F29FE" w:rsidP="00CD27D9">
      <w:pPr>
        <w:jc w:val="both"/>
        <w:rPr>
          <w:rFonts w:ascii="Arial" w:hAnsi="Arial" w:cs="Arial"/>
          <w:sz w:val="22"/>
          <w:szCs w:val="22"/>
        </w:rPr>
      </w:pPr>
      <w:r w:rsidRPr="006F29FE">
        <w:rPr>
          <w:rFonts w:ascii="Arial" w:hAnsi="Arial" w:cs="Arial"/>
          <w:sz w:val="22"/>
          <w:szCs w:val="22"/>
        </w:rPr>
        <w:t xml:space="preserve">The GGBC encompasses </w:t>
      </w:r>
      <w:r w:rsidR="00677B24">
        <w:rPr>
          <w:rFonts w:ascii="Arial" w:hAnsi="Arial" w:cs="Arial"/>
          <w:sz w:val="22"/>
          <w:szCs w:val="22"/>
        </w:rPr>
        <w:t>2189</w:t>
      </w:r>
      <w:r w:rsidRPr="006F29FE">
        <w:rPr>
          <w:rFonts w:ascii="Arial" w:hAnsi="Arial" w:cs="Arial"/>
          <w:sz w:val="22"/>
          <w:szCs w:val="22"/>
        </w:rPr>
        <w:t xml:space="preserve"> ft2 of lab space in UGA’s Riverbend North Research Building. This space include</w:t>
      </w:r>
      <w:r w:rsidR="00883C44">
        <w:rPr>
          <w:rFonts w:ascii="Arial" w:hAnsi="Arial" w:cs="Arial"/>
          <w:sz w:val="22"/>
          <w:szCs w:val="22"/>
        </w:rPr>
        <w:t>s one</w:t>
      </w:r>
      <w:r w:rsidRPr="006F29FE">
        <w:rPr>
          <w:rFonts w:ascii="Arial" w:hAnsi="Arial" w:cs="Arial"/>
          <w:sz w:val="22"/>
          <w:szCs w:val="22"/>
        </w:rPr>
        <w:t xml:space="preserve"> small pre-PCR labs and a large post-PCR lab. The post-PCR lab is divided by a wall into a non-PCR portion where cloning and similar operations occur, and the post-PCR portion where the thermal cyclers and most major sequencing and genotyping instruments are located. </w:t>
      </w:r>
      <w:r w:rsidR="00C47B60">
        <w:rPr>
          <w:rFonts w:ascii="Arial" w:hAnsi="Arial" w:cs="Arial"/>
          <w:sz w:val="22"/>
          <w:szCs w:val="22"/>
        </w:rPr>
        <w:t>The GGBC has four office spaces</w:t>
      </w:r>
      <w:r w:rsidR="00CF71E8">
        <w:rPr>
          <w:rFonts w:ascii="Arial" w:hAnsi="Arial" w:cs="Arial"/>
          <w:sz w:val="22"/>
          <w:szCs w:val="22"/>
        </w:rPr>
        <w:t xml:space="preserve">: Technical staff </w:t>
      </w:r>
      <w:r w:rsidR="00E941F3">
        <w:rPr>
          <w:rFonts w:ascii="Arial" w:hAnsi="Arial" w:cs="Arial"/>
          <w:sz w:val="22"/>
          <w:szCs w:val="22"/>
        </w:rPr>
        <w:t xml:space="preserve">large shared-space </w:t>
      </w:r>
      <w:r w:rsidR="00CF71E8">
        <w:rPr>
          <w:rFonts w:ascii="Arial" w:hAnsi="Arial" w:cs="Arial"/>
          <w:sz w:val="22"/>
          <w:szCs w:val="22"/>
        </w:rPr>
        <w:t>office</w:t>
      </w:r>
      <w:r w:rsidR="00254676">
        <w:rPr>
          <w:rFonts w:ascii="Arial" w:hAnsi="Arial" w:cs="Arial"/>
          <w:sz w:val="22"/>
          <w:szCs w:val="22"/>
        </w:rPr>
        <w:t>, business staff office</w:t>
      </w:r>
      <w:r w:rsidR="00E941F3">
        <w:rPr>
          <w:rFonts w:ascii="Arial" w:hAnsi="Arial" w:cs="Arial"/>
          <w:sz w:val="22"/>
          <w:szCs w:val="22"/>
        </w:rPr>
        <w:t xml:space="preserve"> suite</w:t>
      </w:r>
      <w:r w:rsidR="00254676">
        <w:rPr>
          <w:rFonts w:ascii="Arial" w:hAnsi="Arial" w:cs="Arial"/>
          <w:sz w:val="22"/>
          <w:szCs w:val="22"/>
        </w:rPr>
        <w:t xml:space="preserve">, bioinformatics team office and Director’s office. </w:t>
      </w:r>
      <w:r w:rsidRPr="006F29FE">
        <w:rPr>
          <w:rFonts w:ascii="Arial" w:hAnsi="Arial" w:cs="Arial"/>
          <w:sz w:val="22"/>
          <w:szCs w:val="22"/>
        </w:rPr>
        <w:t xml:space="preserve">GGBC instruments include: </w:t>
      </w:r>
      <w:r w:rsidR="00FF277F">
        <w:rPr>
          <w:rFonts w:ascii="Arial" w:hAnsi="Arial" w:cs="Arial"/>
          <w:sz w:val="22"/>
          <w:szCs w:val="22"/>
        </w:rPr>
        <w:t xml:space="preserve">Two Illumina </w:t>
      </w:r>
      <w:proofErr w:type="spellStart"/>
      <w:r w:rsidR="00FF277F">
        <w:rPr>
          <w:rFonts w:ascii="Arial" w:hAnsi="Arial" w:cs="Arial"/>
          <w:sz w:val="22"/>
          <w:szCs w:val="22"/>
        </w:rPr>
        <w:t>MiSeq</w:t>
      </w:r>
      <w:proofErr w:type="spellEnd"/>
      <w:r w:rsidR="00065F97">
        <w:rPr>
          <w:rFonts w:ascii="Arial" w:hAnsi="Arial" w:cs="Arial"/>
          <w:sz w:val="22"/>
          <w:szCs w:val="22"/>
        </w:rPr>
        <w:t xml:space="preserve">, Two Illumina NextSeq 500, One PacBio Sequel II, </w:t>
      </w:r>
      <w:r w:rsidR="00FB5F0F">
        <w:rPr>
          <w:rFonts w:ascii="Arial" w:hAnsi="Arial" w:cs="Arial"/>
          <w:sz w:val="22"/>
          <w:szCs w:val="22"/>
        </w:rPr>
        <w:t>multiple Oxford Nanopore MinIon, one Applied Bio</w:t>
      </w:r>
      <w:r w:rsidR="00946ABF">
        <w:rPr>
          <w:rFonts w:ascii="Arial" w:hAnsi="Arial" w:cs="Arial"/>
          <w:sz w:val="22"/>
          <w:szCs w:val="22"/>
        </w:rPr>
        <w:t xml:space="preserve">system 3730xl capillary DNA </w:t>
      </w:r>
      <w:r w:rsidR="003979DD">
        <w:rPr>
          <w:rFonts w:ascii="Arial" w:hAnsi="Arial" w:cs="Arial"/>
          <w:sz w:val="22"/>
          <w:szCs w:val="22"/>
        </w:rPr>
        <w:t>sequences</w:t>
      </w:r>
      <w:r w:rsidR="00946ABF">
        <w:rPr>
          <w:rFonts w:ascii="Arial" w:hAnsi="Arial" w:cs="Arial"/>
          <w:sz w:val="22"/>
          <w:szCs w:val="22"/>
        </w:rPr>
        <w:t xml:space="preserve">, </w:t>
      </w:r>
      <w:r w:rsidR="00946ABF" w:rsidRPr="006F29FE">
        <w:rPr>
          <w:rFonts w:ascii="Arial" w:hAnsi="Arial" w:cs="Arial"/>
          <w:sz w:val="22"/>
          <w:szCs w:val="22"/>
        </w:rPr>
        <w:t xml:space="preserve">one Roche </w:t>
      </w:r>
      <w:proofErr w:type="spellStart"/>
      <w:r w:rsidR="00946ABF" w:rsidRPr="006F29FE">
        <w:rPr>
          <w:rFonts w:ascii="Arial" w:hAnsi="Arial" w:cs="Arial"/>
          <w:sz w:val="22"/>
          <w:szCs w:val="22"/>
        </w:rPr>
        <w:t>Lightcycler</w:t>
      </w:r>
      <w:proofErr w:type="spellEnd"/>
      <w:r w:rsidR="00946ABF" w:rsidRPr="006F29FE">
        <w:rPr>
          <w:rFonts w:ascii="Arial" w:hAnsi="Arial" w:cs="Arial"/>
          <w:sz w:val="22"/>
          <w:szCs w:val="22"/>
        </w:rPr>
        <w:t xml:space="preserve"> (96 and 384-well capable)</w:t>
      </w:r>
      <w:r w:rsidR="001C55C2">
        <w:rPr>
          <w:rFonts w:ascii="Arial" w:hAnsi="Arial" w:cs="Arial"/>
          <w:sz w:val="22"/>
          <w:szCs w:val="22"/>
        </w:rPr>
        <w:t>,</w:t>
      </w:r>
      <w:r w:rsidR="00946ABF" w:rsidRPr="006F29FE">
        <w:rPr>
          <w:rFonts w:ascii="Arial" w:hAnsi="Arial" w:cs="Arial"/>
          <w:sz w:val="22"/>
          <w:szCs w:val="22"/>
        </w:rPr>
        <w:t xml:space="preserve"> two </w:t>
      </w:r>
      <w:proofErr w:type="spellStart"/>
      <w:r w:rsidR="00946ABF" w:rsidRPr="006F29FE">
        <w:rPr>
          <w:rFonts w:ascii="Arial" w:hAnsi="Arial" w:cs="Arial"/>
          <w:sz w:val="22"/>
          <w:szCs w:val="22"/>
        </w:rPr>
        <w:t>epMotion</w:t>
      </w:r>
      <w:proofErr w:type="spellEnd"/>
      <w:r w:rsidR="00946ABF" w:rsidRPr="006F29FE">
        <w:rPr>
          <w:rFonts w:ascii="Arial" w:hAnsi="Arial" w:cs="Arial"/>
          <w:sz w:val="22"/>
          <w:szCs w:val="22"/>
        </w:rPr>
        <w:t xml:space="preserve"> pipetting systems</w:t>
      </w:r>
      <w:r w:rsidR="001C55C2">
        <w:rPr>
          <w:rFonts w:ascii="Arial" w:hAnsi="Arial" w:cs="Arial"/>
          <w:sz w:val="22"/>
          <w:szCs w:val="22"/>
        </w:rPr>
        <w:t>,</w:t>
      </w:r>
      <w:r w:rsidR="00946ABF" w:rsidRPr="006F29FE">
        <w:rPr>
          <w:rFonts w:ascii="Arial" w:hAnsi="Arial" w:cs="Arial"/>
          <w:sz w:val="22"/>
          <w:szCs w:val="22"/>
        </w:rPr>
        <w:t xml:space="preserve"> one Illumina </w:t>
      </w:r>
      <w:proofErr w:type="spellStart"/>
      <w:r w:rsidR="00946ABF" w:rsidRPr="006F29FE">
        <w:rPr>
          <w:rFonts w:ascii="Arial" w:hAnsi="Arial" w:cs="Arial"/>
          <w:sz w:val="22"/>
          <w:szCs w:val="22"/>
        </w:rPr>
        <w:t>BeadXpress</w:t>
      </w:r>
      <w:proofErr w:type="spellEnd"/>
      <w:r w:rsidR="00946ABF" w:rsidRPr="006F29FE">
        <w:rPr>
          <w:rFonts w:ascii="Arial" w:hAnsi="Arial" w:cs="Arial"/>
          <w:sz w:val="22"/>
          <w:szCs w:val="22"/>
        </w:rPr>
        <w:t xml:space="preserve"> for high-throughput SNP genotyping</w:t>
      </w:r>
      <w:r w:rsidR="001C55C2">
        <w:rPr>
          <w:rFonts w:ascii="Arial" w:hAnsi="Arial" w:cs="Arial"/>
          <w:sz w:val="22"/>
          <w:szCs w:val="22"/>
        </w:rPr>
        <w:t>,</w:t>
      </w:r>
      <w:r w:rsidR="00946ABF" w:rsidRPr="006F29FE">
        <w:rPr>
          <w:rFonts w:ascii="Arial" w:hAnsi="Arial" w:cs="Arial"/>
          <w:sz w:val="22"/>
          <w:szCs w:val="22"/>
        </w:rPr>
        <w:t xml:space="preserve"> one Applied Biosystems </w:t>
      </w:r>
      <w:proofErr w:type="spellStart"/>
      <w:r w:rsidR="00946ABF" w:rsidRPr="006F29FE">
        <w:rPr>
          <w:rFonts w:ascii="Arial" w:hAnsi="Arial" w:cs="Arial"/>
          <w:sz w:val="22"/>
          <w:szCs w:val="22"/>
        </w:rPr>
        <w:t>OpenArray</w:t>
      </w:r>
      <w:proofErr w:type="spellEnd"/>
      <w:r w:rsidR="00946ABF" w:rsidRPr="006F29FE">
        <w:rPr>
          <w:rFonts w:ascii="Arial" w:hAnsi="Arial" w:cs="Arial"/>
          <w:sz w:val="22"/>
          <w:szCs w:val="22"/>
        </w:rPr>
        <w:t xml:space="preserve"> for low-throughput SNP detection</w:t>
      </w:r>
      <w:r w:rsidR="001C55C2">
        <w:rPr>
          <w:rFonts w:ascii="Arial" w:hAnsi="Arial" w:cs="Arial"/>
          <w:sz w:val="22"/>
          <w:szCs w:val="22"/>
        </w:rPr>
        <w:t>,</w:t>
      </w:r>
      <w:r w:rsidR="00946ABF" w:rsidRPr="006F29FE">
        <w:rPr>
          <w:rFonts w:ascii="Arial" w:hAnsi="Arial" w:cs="Arial"/>
          <w:sz w:val="22"/>
          <w:szCs w:val="22"/>
        </w:rPr>
        <w:t xml:space="preserve"> two Hydra 96-well robotic micro-dispensers</w:t>
      </w:r>
      <w:r w:rsidR="001C55C2">
        <w:rPr>
          <w:rFonts w:ascii="Arial" w:hAnsi="Arial" w:cs="Arial"/>
          <w:sz w:val="22"/>
          <w:szCs w:val="22"/>
        </w:rPr>
        <w:t>,</w:t>
      </w:r>
      <w:r w:rsidR="00946ABF" w:rsidRPr="006F29FE">
        <w:rPr>
          <w:rFonts w:ascii="Arial" w:hAnsi="Arial" w:cs="Arial"/>
          <w:sz w:val="22"/>
          <w:szCs w:val="22"/>
        </w:rPr>
        <w:t xml:space="preserve"> five Applied Biosystems 9700 thermocyclers (3 dual 96-well, and 2 dual 384-well)</w:t>
      </w:r>
      <w:r w:rsidR="001C55C2">
        <w:rPr>
          <w:rFonts w:ascii="Arial" w:hAnsi="Arial" w:cs="Arial"/>
          <w:sz w:val="22"/>
          <w:szCs w:val="22"/>
        </w:rPr>
        <w:t>,</w:t>
      </w:r>
      <w:r w:rsidR="00946ABF" w:rsidRPr="006F29FE">
        <w:rPr>
          <w:rFonts w:ascii="Arial" w:hAnsi="Arial" w:cs="Arial"/>
          <w:sz w:val="22"/>
          <w:szCs w:val="22"/>
        </w:rPr>
        <w:t xml:space="preserve"> one </w:t>
      </w:r>
      <w:proofErr w:type="spellStart"/>
      <w:r w:rsidR="00946ABF" w:rsidRPr="006F29FE">
        <w:rPr>
          <w:rFonts w:ascii="Arial" w:hAnsi="Arial" w:cs="Arial"/>
          <w:sz w:val="22"/>
          <w:szCs w:val="22"/>
        </w:rPr>
        <w:t>Shimatzu</w:t>
      </w:r>
      <w:proofErr w:type="spellEnd"/>
      <w:r w:rsidR="00946ABF" w:rsidRPr="006F29FE">
        <w:rPr>
          <w:rFonts w:ascii="Arial" w:hAnsi="Arial" w:cs="Arial"/>
          <w:sz w:val="22"/>
          <w:szCs w:val="22"/>
        </w:rPr>
        <w:t xml:space="preserve"> </w:t>
      </w:r>
      <w:proofErr w:type="spellStart"/>
      <w:r w:rsidR="00946ABF" w:rsidRPr="006F29FE">
        <w:rPr>
          <w:rFonts w:ascii="Arial" w:hAnsi="Arial" w:cs="Arial"/>
          <w:sz w:val="22"/>
          <w:szCs w:val="22"/>
        </w:rPr>
        <w:t>MultiNA</w:t>
      </w:r>
      <w:proofErr w:type="spellEnd"/>
      <w:r w:rsidR="00CD27D9">
        <w:rPr>
          <w:rFonts w:ascii="Arial" w:hAnsi="Arial" w:cs="Arial"/>
          <w:sz w:val="22"/>
          <w:szCs w:val="22"/>
        </w:rPr>
        <w:t>,</w:t>
      </w:r>
      <w:r w:rsidR="00946ABF" w:rsidRPr="006F29FE">
        <w:rPr>
          <w:rFonts w:ascii="Arial" w:hAnsi="Arial" w:cs="Arial"/>
          <w:sz w:val="22"/>
          <w:szCs w:val="22"/>
        </w:rPr>
        <w:t xml:space="preserve"> </w:t>
      </w:r>
      <w:r w:rsidR="00486E85">
        <w:rPr>
          <w:rFonts w:ascii="Arial" w:hAnsi="Arial" w:cs="Arial"/>
          <w:sz w:val="22"/>
          <w:szCs w:val="22"/>
        </w:rPr>
        <w:t xml:space="preserve">one </w:t>
      </w:r>
      <w:proofErr w:type="spellStart"/>
      <w:r w:rsidR="00946ABF" w:rsidRPr="006F29FE">
        <w:rPr>
          <w:rFonts w:ascii="Arial" w:hAnsi="Arial" w:cs="Arial"/>
          <w:sz w:val="22"/>
          <w:szCs w:val="22"/>
        </w:rPr>
        <w:t>Covaris</w:t>
      </w:r>
      <w:proofErr w:type="spellEnd"/>
      <w:r w:rsidR="00946ABF" w:rsidRPr="006F29FE">
        <w:rPr>
          <w:rFonts w:ascii="Arial" w:hAnsi="Arial" w:cs="Arial"/>
          <w:sz w:val="22"/>
          <w:szCs w:val="22"/>
        </w:rPr>
        <w:t xml:space="preserve"> </w:t>
      </w:r>
      <w:r w:rsidR="00486E85">
        <w:rPr>
          <w:rFonts w:ascii="Arial" w:hAnsi="Arial" w:cs="Arial"/>
          <w:sz w:val="22"/>
          <w:szCs w:val="22"/>
        </w:rPr>
        <w:t>E220 Evolution</w:t>
      </w:r>
      <w:r w:rsidR="00CD27D9">
        <w:rPr>
          <w:rFonts w:ascii="Arial" w:hAnsi="Arial" w:cs="Arial"/>
          <w:sz w:val="22"/>
          <w:szCs w:val="22"/>
        </w:rPr>
        <w:t>,</w:t>
      </w:r>
      <w:r w:rsidR="00946ABF" w:rsidRPr="006F29FE">
        <w:rPr>
          <w:rFonts w:ascii="Arial" w:hAnsi="Arial" w:cs="Arial"/>
          <w:sz w:val="22"/>
          <w:szCs w:val="22"/>
        </w:rPr>
        <w:t xml:space="preserve"> </w:t>
      </w:r>
      <w:r w:rsidR="00CD27D9">
        <w:rPr>
          <w:rFonts w:ascii="Arial" w:hAnsi="Arial" w:cs="Arial"/>
          <w:sz w:val="22"/>
          <w:szCs w:val="22"/>
        </w:rPr>
        <w:t>two</w:t>
      </w:r>
      <w:r w:rsidR="00946ABF" w:rsidRPr="006F29FE">
        <w:rPr>
          <w:rFonts w:ascii="Arial" w:hAnsi="Arial" w:cs="Arial"/>
          <w:sz w:val="22"/>
          <w:szCs w:val="22"/>
        </w:rPr>
        <w:t xml:space="preserve"> Qubit</w:t>
      </w:r>
      <w:r w:rsidR="00946ABF">
        <w:rPr>
          <w:rFonts w:ascii="Arial" w:hAnsi="Arial" w:cs="Arial"/>
          <w:sz w:val="22"/>
          <w:szCs w:val="22"/>
        </w:rPr>
        <w:t>4</w:t>
      </w:r>
      <w:r w:rsidR="00CD27D9">
        <w:rPr>
          <w:rFonts w:ascii="Arial" w:hAnsi="Arial" w:cs="Arial"/>
          <w:sz w:val="22"/>
          <w:szCs w:val="22"/>
        </w:rPr>
        <w:t>,</w:t>
      </w:r>
      <w:r w:rsidR="00946ABF" w:rsidRPr="006F29FE">
        <w:rPr>
          <w:rFonts w:ascii="Arial" w:hAnsi="Arial" w:cs="Arial"/>
          <w:sz w:val="22"/>
          <w:szCs w:val="22"/>
        </w:rPr>
        <w:t xml:space="preserve"> </w:t>
      </w:r>
      <w:r w:rsidR="00CD27D9">
        <w:rPr>
          <w:rFonts w:ascii="Arial" w:hAnsi="Arial" w:cs="Arial"/>
          <w:sz w:val="22"/>
          <w:szCs w:val="22"/>
        </w:rPr>
        <w:t>one</w:t>
      </w:r>
      <w:r w:rsidR="00946ABF" w:rsidRPr="006F29FE">
        <w:rPr>
          <w:rFonts w:ascii="Arial" w:hAnsi="Arial" w:cs="Arial"/>
          <w:sz w:val="22"/>
          <w:szCs w:val="22"/>
        </w:rPr>
        <w:t xml:space="preserve"> </w:t>
      </w:r>
      <w:proofErr w:type="spellStart"/>
      <w:r w:rsidR="00946ABF" w:rsidRPr="006F29FE">
        <w:rPr>
          <w:rFonts w:ascii="Arial" w:hAnsi="Arial" w:cs="Arial"/>
          <w:sz w:val="22"/>
          <w:szCs w:val="22"/>
        </w:rPr>
        <w:t>HydroShear</w:t>
      </w:r>
      <w:proofErr w:type="spellEnd"/>
      <w:r w:rsidR="00946ABF" w:rsidRPr="006F29FE">
        <w:rPr>
          <w:rFonts w:ascii="Arial" w:hAnsi="Arial" w:cs="Arial"/>
          <w:sz w:val="22"/>
          <w:szCs w:val="22"/>
        </w:rPr>
        <w:t>,</w:t>
      </w:r>
      <w:r w:rsidR="00CD27D9">
        <w:rPr>
          <w:rFonts w:ascii="Arial" w:hAnsi="Arial" w:cs="Arial"/>
          <w:sz w:val="22"/>
          <w:szCs w:val="22"/>
        </w:rPr>
        <w:t xml:space="preserve"> </w:t>
      </w:r>
      <w:r w:rsidR="009D6AF1">
        <w:rPr>
          <w:rFonts w:ascii="Arial" w:hAnsi="Arial" w:cs="Arial"/>
          <w:sz w:val="22"/>
          <w:szCs w:val="22"/>
        </w:rPr>
        <w:t xml:space="preserve">one </w:t>
      </w:r>
      <w:r w:rsidR="00CD27D9">
        <w:rPr>
          <w:rFonts w:ascii="Arial" w:hAnsi="Arial" w:cs="Arial"/>
          <w:sz w:val="22"/>
          <w:szCs w:val="22"/>
        </w:rPr>
        <w:t xml:space="preserve">Bio-Tek Synergy LXFA fluorometric plate reads, </w:t>
      </w:r>
      <w:r w:rsidR="009D6AF1">
        <w:rPr>
          <w:rFonts w:ascii="Arial" w:hAnsi="Arial" w:cs="Arial"/>
          <w:sz w:val="22"/>
          <w:szCs w:val="22"/>
        </w:rPr>
        <w:t>one Blue</w:t>
      </w:r>
      <w:r w:rsidR="00CD27D9">
        <w:rPr>
          <w:rFonts w:ascii="Arial" w:hAnsi="Arial" w:cs="Arial"/>
          <w:sz w:val="22"/>
          <w:szCs w:val="22"/>
        </w:rPr>
        <w:t xml:space="preserve"> Pippin for DNA size selection, </w:t>
      </w:r>
      <w:r w:rsidR="009D6AF1">
        <w:rPr>
          <w:rFonts w:ascii="Arial" w:hAnsi="Arial" w:cs="Arial"/>
          <w:sz w:val="22"/>
          <w:szCs w:val="22"/>
        </w:rPr>
        <w:t xml:space="preserve">one </w:t>
      </w:r>
      <w:proofErr w:type="spellStart"/>
      <w:r w:rsidR="00CD27D9">
        <w:rPr>
          <w:rFonts w:ascii="Arial" w:hAnsi="Arial" w:cs="Arial"/>
          <w:sz w:val="22"/>
          <w:szCs w:val="22"/>
        </w:rPr>
        <w:t>SageELF</w:t>
      </w:r>
      <w:proofErr w:type="spellEnd"/>
      <w:r w:rsidR="00CD27D9">
        <w:rPr>
          <w:rFonts w:ascii="Arial" w:hAnsi="Arial" w:cs="Arial"/>
          <w:sz w:val="22"/>
          <w:szCs w:val="22"/>
        </w:rPr>
        <w:t xml:space="preserve"> for DNA fractionation</w:t>
      </w:r>
      <w:r w:rsidR="009D6AF1">
        <w:rPr>
          <w:rFonts w:ascii="Arial" w:hAnsi="Arial" w:cs="Arial"/>
          <w:sz w:val="22"/>
          <w:szCs w:val="22"/>
        </w:rPr>
        <w:t>, one 10X Genomics Chromium</w:t>
      </w:r>
      <w:r w:rsidR="00E85A5B">
        <w:rPr>
          <w:rFonts w:ascii="Arial" w:hAnsi="Arial" w:cs="Arial"/>
          <w:sz w:val="22"/>
          <w:szCs w:val="22"/>
        </w:rPr>
        <w:t>, One Agilent Fragment Analyzer, One Agilent Bio-Analyzer</w:t>
      </w:r>
      <w:r w:rsidR="0046749B">
        <w:rPr>
          <w:rFonts w:ascii="Arial" w:hAnsi="Arial" w:cs="Arial"/>
          <w:sz w:val="22"/>
          <w:szCs w:val="22"/>
        </w:rPr>
        <w:t>, and many supporting instru</w:t>
      </w:r>
      <w:r w:rsidR="00FF7DC6">
        <w:rPr>
          <w:rFonts w:ascii="Arial" w:hAnsi="Arial" w:cs="Arial"/>
          <w:sz w:val="22"/>
          <w:szCs w:val="22"/>
        </w:rPr>
        <w:t xml:space="preserve">ments. </w:t>
      </w:r>
    </w:p>
    <w:p w14:paraId="7FF39C0E" w14:textId="77777777" w:rsidR="006F29FE" w:rsidRPr="006F29FE" w:rsidRDefault="006F29FE" w:rsidP="006F29FE">
      <w:pPr>
        <w:jc w:val="both"/>
        <w:rPr>
          <w:rFonts w:ascii="Arial" w:hAnsi="Arial" w:cs="Arial"/>
          <w:sz w:val="22"/>
          <w:szCs w:val="22"/>
        </w:rPr>
      </w:pPr>
    </w:p>
    <w:p w14:paraId="3FB6CFB4" w14:textId="438E935A" w:rsidR="006F29FE" w:rsidRPr="006F29FE" w:rsidRDefault="006F29FE" w:rsidP="006F29FE">
      <w:pPr>
        <w:jc w:val="both"/>
        <w:rPr>
          <w:rFonts w:ascii="Arial" w:hAnsi="Arial" w:cs="Arial"/>
          <w:sz w:val="22"/>
          <w:szCs w:val="22"/>
        </w:rPr>
      </w:pPr>
      <w:r w:rsidRPr="006F29FE">
        <w:rPr>
          <w:rFonts w:ascii="Arial" w:hAnsi="Arial" w:cs="Arial"/>
          <w:sz w:val="22"/>
          <w:szCs w:val="22"/>
        </w:rPr>
        <w:t xml:space="preserve">The non-PCR labs have: standard and multichannel </w:t>
      </w:r>
      <w:proofErr w:type="spellStart"/>
      <w:r w:rsidRPr="006F29FE">
        <w:rPr>
          <w:rFonts w:ascii="Arial" w:hAnsi="Arial" w:cs="Arial"/>
          <w:sz w:val="22"/>
          <w:szCs w:val="22"/>
        </w:rPr>
        <w:t>pipetters</w:t>
      </w:r>
      <w:proofErr w:type="spellEnd"/>
      <w:r w:rsidRPr="006F29FE">
        <w:rPr>
          <w:rFonts w:ascii="Arial" w:hAnsi="Arial" w:cs="Arial"/>
          <w:sz w:val="22"/>
          <w:szCs w:val="22"/>
        </w:rPr>
        <w:t xml:space="preserve">; microcentrifuges; refrigerators, -20°C freezers, and ultra-cold freezers; 4 refrigerated microtiter plate centrifuges; incubators; electronic balances and a pH meter; </w:t>
      </w:r>
      <w:r w:rsidR="0048118B">
        <w:rPr>
          <w:rFonts w:ascii="Arial" w:hAnsi="Arial" w:cs="Arial"/>
          <w:sz w:val="22"/>
          <w:szCs w:val="22"/>
        </w:rPr>
        <w:t>many</w:t>
      </w:r>
      <w:r w:rsidRPr="006F29FE">
        <w:rPr>
          <w:rFonts w:ascii="Arial" w:hAnsi="Arial" w:cs="Arial"/>
          <w:sz w:val="22"/>
          <w:szCs w:val="22"/>
        </w:rPr>
        <w:t xml:space="preserve"> single 96-well thermal cyclers for NGS library preparation; the chemicals and supplies needed for DNA extraction, making DNA libraries, and setting up PCR reactions; and. The post-PCR labs also has: a nanodrop spectrophotometer; fume hoods; ultra-cold freezers; various incubators and shakers; electronic balances; pH meters; standard and multichannel pipettes; various centrifuges for tubes and 96-well plates; and the chemicals and supplies needed for DNA sequencing, fragment size determination, and </w:t>
      </w:r>
      <w:proofErr w:type="spellStart"/>
      <w:r w:rsidRPr="006F29FE">
        <w:rPr>
          <w:rFonts w:ascii="Arial" w:hAnsi="Arial" w:cs="Arial"/>
          <w:sz w:val="22"/>
          <w:szCs w:val="22"/>
        </w:rPr>
        <w:t>GoldenGate</w:t>
      </w:r>
      <w:proofErr w:type="spellEnd"/>
      <w:r w:rsidRPr="006F29FE">
        <w:rPr>
          <w:rFonts w:ascii="Arial" w:hAnsi="Arial" w:cs="Arial"/>
          <w:sz w:val="22"/>
          <w:szCs w:val="22"/>
        </w:rPr>
        <w:t xml:space="preserve"> SNP genotyping. </w:t>
      </w:r>
    </w:p>
    <w:p w14:paraId="19DB4604" w14:textId="77777777" w:rsidR="006F29FE" w:rsidRPr="006F29FE" w:rsidRDefault="006F29FE" w:rsidP="006F29FE">
      <w:pPr>
        <w:jc w:val="both"/>
        <w:rPr>
          <w:rFonts w:ascii="Arial" w:hAnsi="Arial" w:cs="Arial"/>
          <w:sz w:val="22"/>
          <w:szCs w:val="22"/>
        </w:rPr>
      </w:pPr>
    </w:p>
    <w:p w14:paraId="0C19B6D0" w14:textId="0305B71A" w:rsidR="006F29FE" w:rsidRPr="006F29FE" w:rsidRDefault="006F29FE" w:rsidP="006F29FE">
      <w:pPr>
        <w:jc w:val="both"/>
        <w:rPr>
          <w:rFonts w:ascii="Arial" w:hAnsi="Arial" w:cs="Arial"/>
          <w:sz w:val="22"/>
          <w:szCs w:val="22"/>
        </w:rPr>
      </w:pPr>
      <w:r w:rsidRPr="006F29FE">
        <w:rPr>
          <w:rFonts w:ascii="Arial" w:hAnsi="Arial" w:cs="Arial"/>
          <w:sz w:val="22"/>
          <w:szCs w:val="22"/>
        </w:rPr>
        <w:t xml:space="preserve">The GGBC team consists of three teams: The management, sequencing, and bioinformatics teams. The Management team consists of an operation manger (PhD), one budget analyst and one administration assistant. The sequencing team consists of one lab manager II (MS), </w:t>
      </w:r>
      <w:r w:rsidR="00434457">
        <w:rPr>
          <w:rFonts w:ascii="Arial" w:hAnsi="Arial" w:cs="Arial"/>
          <w:sz w:val="22"/>
          <w:szCs w:val="22"/>
        </w:rPr>
        <w:t>and four</w:t>
      </w:r>
      <w:r w:rsidRPr="006F29FE">
        <w:rPr>
          <w:rFonts w:ascii="Arial" w:hAnsi="Arial" w:cs="Arial"/>
          <w:sz w:val="22"/>
          <w:szCs w:val="22"/>
        </w:rPr>
        <w:t xml:space="preserve"> lab managers I (BS</w:t>
      </w:r>
      <w:r w:rsidR="00434457">
        <w:rPr>
          <w:rFonts w:ascii="Arial" w:hAnsi="Arial" w:cs="Arial"/>
          <w:sz w:val="22"/>
          <w:szCs w:val="22"/>
        </w:rPr>
        <w:t xml:space="preserve">). </w:t>
      </w:r>
      <w:r w:rsidRPr="006F29FE">
        <w:rPr>
          <w:rFonts w:ascii="Arial" w:hAnsi="Arial" w:cs="Arial"/>
          <w:sz w:val="22"/>
          <w:szCs w:val="22"/>
        </w:rPr>
        <w:t>The bioinformatics team consists of one lead bioinformatician (PhD) and two bioinformatic specialists (PhD students). The GGBC continuously hosts at least t</w:t>
      </w:r>
      <w:r w:rsidR="00AF361A">
        <w:rPr>
          <w:rFonts w:ascii="Arial" w:hAnsi="Arial" w:cs="Arial"/>
          <w:sz w:val="22"/>
          <w:szCs w:val="22"/>
        </w:rPr>
        <w:t>hree</w:t>
      </w:r>
      <w:r w:rsidRPr="006F29FE">
        <w:rPr>
          <w:rFonts w:ascii="Arial" w:hAnsi="Arial" w:cs="Arial"/>
          <w:sz w:val="22"/>
          <w:szCs w:val="22"/>
        </w:rPr>
        <w:t xml:space="preserve"> interns helping the sequencing team. </w:t>
      </w:r>
    </w:p>
    <w:p w14:paraId="5186F53F" w14:textId="77777777" w:rsidR="006F29FE" w:rsidRPr="006F29FE" w:rsidRDefault="006F29FE" w:rsidP="006F29FE">
      <w:pPr>
        <w:jc w:val="both"/>
        <w:rPr>
          <w:rFonts w:ascii="Arial" w:hAnsi="Arial" w:cs="Arial"/>
          <w:sz w:val="22"/>
          <w:szCs w:val="22"/>
        </w:rPr>
      </w:pPr>
    </w:p>
    <w:p w14:paraId="34927E26" w14:textId="5596A807" w:rsidR="008967C2" w:rsidRPr="00421A1E" w:rsidRDefault="006F29FE" w:rsidP="00421A1E">
      <w:pPr>
        <w:pStyle w:val="NormalWeb"/>
        <w:spacing w:before="0" w:beforeAutospacing="0" w:after="225" w:afterAutospacing="0" w:line="270" w:lineRule="atLeast"/>
        <w:jc w:val="both"/>
        <w:textAlignment w:val="baseline"/>
        <w:rPr>
          <w:rFonts w:ascii="Arial" w:eastAsiaTheme="minorHAnsi" w:hAnsi="Arial" w:cs="Arial"/>
          <w:sz w:val="22"/>
          <w:szCs w:val="22"/>
        </w:rPr>
      </w:pPr>
      <w:r w:rsidRPr="00D24DE6">
        <w:rPr>
          <w:rFonts w:ascii="Arial" w:eastAsiaTheme="minorHAnsi" w:hAnsi="Arial" w:cs="Arial"/>
          <w:sz w:val="22"/>
          <w:szCs w:val="22"/>
        </w:rPr>
        <w:t>The GGBC has access to</w:t>
      </w:r>
      <w:r w:rsidR="00D24DE6" w:rsidRPr="00D24DE6">
        <w:rPr>
          <w:rFonts w:ascii="Arial" w:eastAsiaTheme="minorHAnsi" w:hAnsi="Arial" w:cs="Arial"/>
          <w:sz w:val="22"/>
          <w:szCs w:val="22"/>
        </w:rPr>
        <w:t xml:space="preserve"> The Georgia Advanced Computing Resource Center's (GACRC) equipment is located in UGA's Boyd Data Center (BDC). The GACRC has a fulltime staff of Systems</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Administrators and Scientific Computing Consultants, specializing in Linux/UNIX system administration,</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storage administration, and scientific computing consultation. One Linux cluster is available with a total</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core count of approximately 16,000 compute-cores. In addition to conventional compute nodes,</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the cluster has several large memory and GPU specific nodes. High-performance storage for the Linux</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clusters is provided for users' home directories and temporary scratch space. Slower storage resources</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are available for long-term project needs. The home directories, as well as the long-term project</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storage are backed-up to separate storage devices. The computational and storage resources are available free of charge to UGA researchers and students. A Faculty Buy-In program is also in place which provides prioritized access to the GACRC-administered computational resources.</w:t>
      </w:r>
      <w:r w:rsidR="00D24DE6">
        <w:rPr>
          <w:rFonts w:ascii="Arial" w:eastAsiaTheme="minorHAnsi" w:hAnsi="Arial" w:cs="Arial"/>
          <w:sz w:val="22"/>
          <w:szCs w:val="22"/>
        </w:rPr>
        <w:t xml:space="preserve"> </w:t>
      </w:r>
      <w:r w:rsidR="00D24DE6" w:rsidRPr="00D24DE6">
        <w:rPr>
          <w:rFonts w:ascii="Arial" w:eastAsiaTheme="minorHAnsi" w:hAnsi="Arial" w:cs="Arial"/>
          <w:sz w:val="22"/>
          <w:szCs w:val="22"/>
        </w:rPr>
        <w:t>The GACRC manages over 600 software packages, utilities, compilers and libraries. Of these over 450 are bioinformatics related</w:t>
      </w:r>
    </w:p>
    <w:sectPr w:rsidR="008967C2" w:rsidRPr="00421A1E" w:rsidSect="006F29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5F"/>
    <w:rsid w:val="00000158"/>
    <w:rsid w:val="00065F97"/>
    <w:rsid w:val="00167F5F"/>
    <w:rsid w:val="001C55C2"/>
    <w:rsid w:val="00254676"/>
    <w:rsid w:val="0029316B"/>
    <w:rsid w:val="002C1595"/>
    <w:rsid w:val="003979DD"/>
    <w:rsid w:val="003A41C8"/>
    <w:rsid w:val="00415AD3"/>
    <w:rsid w:val="00421A1E"/>
    <w:rsid w:val="00434457"/>
    <w:rsid w:val="0046749B"/>
    <w:rsid w:val="0048118B"/>
    <w:rsid w:val="00486E85"/>
    <w:rsid w:val="00575407"/>
    <w:rsid w:val="005E1CCB"/>
    <w:rsid w:val="00677B24"/>
    <w:rsid w:val="00693735"/>
    <w:rsid w:val="006F29FE"/>
    <w:rsid w:val="006F31C6"/>
    <w:rsid w:val="0083668E"/>
    <w:rsid w:val="00883C44"/>
    <w:rsid w:val="008967C2"/>
    <w:rsid w:val="008D31B6"/>
    <w:rsid w:val="00946ABF"/>
    <w:rsid w:val="009D6AF1"/>
    <w:rsid w:val="00A027EF"/>
    <w:rsid w:val="00A61F5A"/>
    <w:rsid w:val="00AA5C12"/>
    <w:rsid w:val="00AF361A"/>
    <w:rsid w:val="00C47B60"/>
    <w:rsid w:val="00C630A5"/>
    <w:rsid w:val="00CD27D9"/>
    <w:rsid w:val="00CF71E8"/>
    <w:rsid w:val="00D24DE6"/>
    <w:rsid w:val="00E85A5B"/>
    <w:rsid w:val="00E941F3"/>
    <w:rsid w:val="00F03A82"/>
    <w:rsid w:val="00F36343"/>
    <w:rsid w:val="00F85354"/>
    <w:rsid w:val="00FB5F0F"/>
    <w:rsid w:val="00FF277F"/>
    <w:rsid w:val="00FF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3C1EE5"/>
  <w15:chartTrackingRefBased/>
  <w15:docId w15:val="{5AFB52CA-AC1B-3947-B7AC-F516DDB0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D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8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2999-0882-CF47-847E-3B565621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Magdy S Alabady</dc:creator>
  <cp:keywords/>
  <dc:description/>
  <cp:lastModifiedBy>Magdy S Alabady</cp:lastModifiedBy>
  <cp:revision>2</cp:revision>
  <dcterms:created xsi:type="dcterms:W3CDTF">2021-05-07T16:10:00Z</dcterms:created>
  <dcterms:modified xsi:type="dcterms:W3CDTF">2021-05-07T16:10:00Z</dcterms:modified>
</cp:coreProperties>
</file>