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F2F6B" w14:textId="18A4FFC1" w:rsidR="00440D3E" w:rsidRDefault="009A36C0" w:rsidP="008044A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-BoldMT"/>
          <w:bCs/>
          <w:color w:val="222222"/>
          <w:sz w:val="24"/>
          <w:szCs w:val="24"/>
        </w:rPr>
      </w:pPr>
      <w:bookmarkStart w:id="0" w:name="_GoBack"/>
      <w:bookmarkEnd w:id="0"/>
      <w:r w:rsidRPr="008300F9">
        <w:rPr>
          <w:rFonts w:ascii="Georgia" w:hAnsi="Georgia" w:cs="Arial-BoldMT"/>
          <w:bCs/>
          <w:color w:val="222222"/>
          <w:sz w:val="24"/>
          <w:szCs w:val="24"/>
        </w:rPr>
        <w:t>Guidelines for First-</w:t>
      </w:r>
      <w:r w:rsidR="00440D3E" w:rsidRPr="008300F9">
        <w:rPr>
          <w:rFonts w:ascii="Georgia" w:hAnsi="Georgia" w:cs="Arial-BoldMT"/>
          <w:bCs/>
          <w:color w:val="222222"/>
          <w:sz w:val="24"/>
          <w:szCs w:val="24"/>
        </w:rPr>
        <w:t>Time</w:t>
      </w:r>
      <w:r w:rsidR="00D3620B" w:rsidRPr="008300F9">
        <w:rPr>
          <w:rFonts w:ascii="Georgia" w:hAnsi="Georgia" w:cs="Arial-BoldMT"/>
          <w:bCs/>
          <w:color w:val="222222"/>
          <w:sz w:val="24"/>
          <w:szCs w:val="24"/>
        </w:rPr>
        <w:t xml:space="preserve"> </w:t>
      </w:r>
      <w:r w:rsidR="008044A9">
        <w:rPr>
          <w:rFonts w:ascii="Georgia" w:hAnsi="Georgia" w:cs="Arial-BoldMT"/>
          <w:bCs/>
          <w:color w:val="222222"/>
          <w:sz w:val="24"/>
          <w:szCs w:val="24"/>
        </w:rPr>
        <w:t>Single Cell RNAseq (</w:t>
      </w:r>
      <w:r w:rsidR="006866F8" w:rsidRPr="008300F9">
        <w:rPr>
          <w:rFonts w:ascii="Georgia" w:hAnsi="Georgia" w:cs="Arial-BoldMT"/>
          <w:bCs/>
          <w:color w:val="222222"/>
          <w:sz w:val="24"/>
          <w:szCs w:val="24"/>
        </w:rPr>
        <w:t>scRNAseq</w:t>
      </w:r>
      <w:r w:rsidR="008044A9">
        <w:rPr>
          <w:rFonts w:ascii="Georgia" w:hAnsi="Georgia" w:cs="Arial-BoldMT"/>
          <w:bCs/>
          <w:color w:val="222222"/>
          <w:sz w:val="24"/>
          <w:szCs w:val="24"/>
        </w:rPr>
        <w:t>)</w:t>
      </w:r>
      <w:r w:rsidR="006866F8" w:rsidRPr="008300F9">
        <w:rPr>
          <w:rFonts w:ascii="Georgia" w:hAnsi="Georgia" w:cs="Arial-BoldMT"/>
          <w:bCs/>
          <w:color w:val="222222"/>
          <w:sz w:val="24"/>
          <w:szCs w:val="24"/>
        </w:rPr>
        <w:t xml:space="preserve"> </w:t>
      </w:r>
      <w:r w:rsidR="00F176F9">
        <w:rPr>
          <w:rFonts w:ascii="Georgia" w:hAnsi="Georgia" w:cs="Arial-BoldMT"/>
          <w:bCs/>
          <w:color w:val="222222"/>
          <w:sz w:val="24"/>
          <w:szCs w:val="24"/>
        </w:rPr>
        <w:t xml:space="preserve">&amp; ATACseq (scATACseq) </w:t>
      </w:r>
      <w:r w:rsidR="002360E2" w:rsidRPr="008300F9">
        <w:rPr>
          <w:rFonts w:ascii="Georgia" w:hAnsi="Georgia" w:cs="Arial-BoldMT"/>
          <w:bCs/>
          <w:color w:val="222222"/>
          <w:sz w:val="24"/>
          <w:szCs w:val="24"/>
        </w:rPr>
        <w:t>Customers</w:t>
      </w:r>
    </w:p>
    <w:p w14:paraId="119B1230" w14:textId="77777777" w:rsidR="008044A9" w:rsidRDefault="008044A9" w:rsidP="008044A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-BoldMT"/>
          <w:bCs/>
          <w:color w:val="222222"/>
          <w:sz w:val="24"/>
          <w:szCs w:val="24"/>
        </w:rPr>
      </w:pPr>
    </w:p>
    <w:p w14:paraId="051567B9" w14:textId="0EF841D7" w:rsidR="008044A9" w:rsidRPr="008300F9" w:rsidRDefault="008044A9" w:rsidP="008044A9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Cs/>
          <w:color w:val="222222"/>
          <w:sz w:val="24"/>
          <w:szCs w:val="24"/>
        </w:rPr>
      </w:pPr>
      <w:r>
        <w:rPr>
          <w:rFonts w:ascii="Georgia" w:hAnsi="Georgia" w:cs="Arial-BoldMT"/>
          <w:bCs/>
          <w:color w:val="222222"/>
          <w:sz w:val="24"/>
          <w:szCs w:val="24"/>
        </w:rPr>
        <w:t>The scRNAseq</w:t>
      </w:r>
      <w:r w:rsidR="00F176F9">
        <w:rPr>
          <w:rFonts w:ascii="Georgia" w:hAnsi="Georgia" w:cs="Arial-BoldMT"/>
          <w:bCs/>
          <w:color w:val="222222"/>
          <w:sz w:val="24"/>
          <w:szCs w:val="24"/>
        </w:rPr>
        <w:t>/</w:t>
      </w:r>
      <w:r w:rsidR="00F176F9" w:rsidRPr="00F176F9">
        <w:rPr>
          <w:rFonts w:ascii="Georgia" w:hAnsi="Georgia" w:cs="Arial-BoldMT"/>
          <w:bCs/>
          <w:color w:val="222222"/>
          <w:sz w:val="24"/>
          <w:szCs w:val="24"/>
        </w:rPr>
        <w:t xml:space="preserve"> </w:t>
      </w:r>
      <w:r w:rsidR="00F176F9">
        <w:rPr>
          <w:rFonts w:ascii="Georgia" w:hAnsi="Georgia" w:cs="Arial-BoldMT"/>
          <w:bCs/>
          <w:color w:val="222222"/>
          <w:sz w:val="24"/>
          <w:szCs w:val="24"/>
        </w:rPr>
        <w:t>scATACseq</w:t>
      </w:r>
      <w:r>
        <w:rPr>
          <w:rFonts w:ascii="Georgia" w:hAnsi="Georgia" w:cs="Arial-BoldMT"/>
          <w:bCs/>
          <w:color w:val="222222"/>
          <w:sz w:val="24"/>
          <w:szCs w:val="24"/>
        </w:rPr>
        <w:t xml:space="preserve"> libraries are prepared using the 10X Genomics Chromium Controller Platform.</w:t>
      </w:r>
    </w:p>
    <w:p w14:paraId="2138E519" w14:textId="77777777" w:rsidR="00440D3E" w:rsidRPr="008300F9" w:rsidRDefault="00440D3E" w:rsidP="00517460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color w:val="222222"/>
          <w:sz w:val="19"/>
          <w:szCs w:val="19"/>
        </w:rPr>
      </w:pPr>
    </w:p>
    <w:p w14:paraId="1EB9AF19" w14:textId="65A860B9" w:rsidR="006F6CB0" w:rsidRPr="003603DE" w:rsidRDefault="00517460" w:rsidP="0051746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4472C4" w:themeColor="accent5"/>
          <w:sz w:val="24"/>
          <w:szCs w:val="24"/>
        </w:rPr>
      </w:pPr>
      <w:r w:rsidRPr="003603DE">
        <w:rPr>
          <w:rFonts w:cstheme="minorHAnsi"/>
          <w:b/>
          <w:bCs/>
          <w:color w:val="4472C4" w:themeColor="accent5"/>
          <w:sz w:val="24"/>
          <w:szCs w:val="24"/>
        </w:rPr>
        <w:t xml:space="preserve">1. </w:t>
      </w:r>
      <w:r w:rsidR="00440D3E" w:rsidRPr="003603DE">
        <w:rPr>
          <w:rFonts w:cstheme="minorHAnsi"/>
          <w:b/>
          <w:bCs/>
          <w:color w:val="4472C4" w:themeColor="accent5"/>
          <w:sz w:val="24"/>
          <w:szCs w:val="24"/>
        </w:rPr>
        <w:t>Cell</w:t>
      </w:r>
      <w:r w:rsidR="00F176F9">
        <w:rPr>
          <w:rFonts w:cstheme="minorHAnsi"/>
          <w:b/>
          <w:bCs/>
          <w:color w:val="4472C4" w:themeColor="accent5"/>
          <w:sz w:val="24"/>
          <w:szCs w:val="24"/>
        </w:rPr>
        <w:t>/nuclei</w:t>
      </w:r>
      <w:r w:rsidR="00440D3E" w:rsidRPr="003603DE">
        <w:rPr>
          <w:rFonts w:cstheme="minorHAnsi"/>
          <w:b/>
          <w:bCs/>
          <w:color w:val="4472C4" w:themeColor="accent5"/>
          <w:sz w:val="24"/>
          <w:szCs w:val="24"/>
        </w:rPr>
        <w:t xml:space="preserve"> counting is essential, and performed by the customer</w:t>
      </w:r>
      <w:r w:rsidR="003C6CDD" w:rsidRPr="003603DE">
        <w:rPr>
          <w:rFonts w:cstheme="minorHAnsi"/>
          <w:b/>
          <w:bCs/>
          <w:color w:val="4472C4" w:themeColor="accent5"/>
          <w:sz w:val="24"/>
          <w:szCs w:val="24"/>
        </w:rPr>
        <w:t xml:space="preserve"> on the day of the library prep</w:t>
      </w:r>
      <w:r w:rsidRPr="003603DE">
        <w:rPr>
          <w:rFonts w:cstheme="minorHAnsi"/>
          <w:b/>
          <w:bCs/>
          <w:color w:val="4472C4" w:themeColor="accent5"/>
          <w:sz w:val="24"/>
          <w:szCs w:val="24"/>
        </w:rPr>
        <w:t xml:space="preserve">. </w:t>
      </w:r>
    </w:p>
    <w:p w14:paraId="547F22B4" w14:textId="77777777" w:rsidR="008044A9" w:rsidRDefault="00687CDB" w:rsidP="0051746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22222"/>
          <w:sz w:val="24"/>
          <w:szCs w:val="24"/>
        </w:rPr>
      </w:pPr>
      <w:r w:rsidRPr="003603DE">
        <w:rPr>
          <w:rFonts w:cstheme="minorHAnsi"/>
          <w:bCs/>
          <w:color w:val="222222"/>
          <w:sz w:val="24"/>
          <w:szCs w:val="24"/>
        </w:rPr>
        <w:t>The customer</w:t>
      </w:r>
      <w:r w:rsidR="00CE1B0D">
        <w:rPr>
          <w:rFonts w:cstheme="minorHAnsi"/>
          <w:bCs/>
          <w:color w:val="222222"/>
          <w:sz w:val="24"/>
          <w:szCs w:val="24"/>
        </w:rPr>
        <w:t>s</w:t>
      </w:r>
      <w:r w:rsidR="00425F07" w:rsidRPr="003603DE">
        <w:rPr>
          <w:rFonts w:cstheme="minorHAnsi"/>
          <w:bCs/>
          <w:color w:val="222222"/>
          <w:sz w:val="24"/>
          <w:szCs w:val="24"/>
        </w:rPr>
        <w:t xml:space="preserve"> </w:t>
      </w:r>
      <w:r w:rsidR="008044A9">
        <w:rPr>
          <w:rFonts w:cstheme="minorHAnsi"/>
          <w:bCs/>
          <w:color w:val="222222"/>
          <w:sz w:val="24"/>
          <w:szCs w:val="24"/>
        </w:rPr>
        <w:t>are responsible for the following:</w:t>
      </w:r>
    </w:p>
    <w:p w14:paraId="2C633E51" w14:textId="77777777" w:rsidR="008044A9" w:rsidRDefault="008044A9" w:rsidP="008044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>Filter</w:t>
      </w:r>
      <w:r w:rsidR="00CE1B0D">
        <w:rPr>
          <w:rFonts w:cstheme="minorHAnsi"/>
          <w:bCs/>
          <w:color w:val="222222"/>
          <w:sz w:val="24"/>
          <w:szCs w:val="24"/>
        </w:rPr>
        <w:t>ing</w:t>
      </w:r>
      <w:r>
        <w:rPr>
          <w:rFonts w:cstheme="minorHAnsi"/>
          <w:bCs/>
          <w:color w:val="222222"/>
          <w:sz w:val="24"/>
          <w:szCs w:val="24"/>
        </w:rPr>
        <w:t xml:space="preserve"> the cell suspension to remove debris/aggregates. </w:t>
      </w:r>
      <w:r w:rsidR="00440D3E" w:rsidRPr="00033370">
        <w:rPr>
          <w:rFonts w:cstheme="minorHAnsi"/>
          <w:color w:val="222222"/>
          <w:sz w:val="24"/>
          <w:szCs w:val="24"/>
        </w:rPr>
        <w:t>Customer</w:t>
      </w:r>
      <w:r w:rsidR="00113DCA" w:rsidRPr="00033370">
        <w:rPr>
          <w:rFonts w:cstheme="minorHAnsi"/>
          <w:color w:val="222222"/>
          <w:sz w:val="24"/>
          <w:szCs w:val="24"/>
        </w:rPr>
        <w:t>s</w:t>
      </w:r>
      <w:r w:rsidR="00517460" w:rsidRPr="00033370">
        <w:rPr>
          <w:rFonts w:cstheme="minorHAnsi"/>
          <w:color w:val="222222"/>
          <w:sz w:val="24"/>
          <w:szCs w:val="24"/>
        </w:rPr>
        <w:t xml:space="preserve"> </w:t>
      </w:r>
      <w:r w:rsidR="009B17C9" w:rsidRPr="00033370">
        <w:rPr>
          <w:rFonts w:cstheme="minorHAnsi"/>
          <w:color w:val="222222"/>
          <w:sz w:val="24"/>
          <w:szCs w:val="24"/>
        </w:rPr>
        <w:t>should</w:t>
      </w:r>
      <w:r w:rsidR="00440D3E" w:rsidRPr="00033370">
        <w:rPr>
          <w:rFonts w:cstheme="minorHAnsi"/>
          <w:color w:val="222222"/>
          <w:sz w:val="24"/>
          <w:szCs w:val="24"/>
        </w:rPr>
        <w:t xml:space="preserve"> decide whether</w:t>
      </w:r>
      <w:r>
        <w:rPr>
          <w:rFonts w:cstheme="minorHAnsi"/>
          <w:color w:val="222222"/>
          <w:sz w:val="24"/>
          <w:szCs w:val="24"/>
        </w:rPr>
        <w:t xml:space="preserve"> </w:t>
      </w:r>
      <w:r w:rsidR="00440D3E" w:rsidRPr="00033370">
        <w:rPr>
          <w:rFonts w:cstheme="minorHAnsi"/>
          <w:color w:val="222222"/>
          <w:sz w:val="24"/>
          <w:szCs w:val="24"/>
        </w:rPr>
        <w:t xml:space="preserve">to </w:t>
      </w:r>
      <w:r w:rsidR="00517460" w:rsidRPr="00033370">
        <w:rPr>
          <w:rFonts w:cstheme="minorHAnsi"/>
          <w:color w:val="222222"/>
          <w:sz w:val="24"/>
          <w:szCs w:val="24"/>
        </w:rPr>
        <w:t>proceed in case</w:t>
      </w:r>
      <w:r w:rsidR="00F83162" w:rsidRPr="00033370">
        <w:rPr>
          <w:rFonts w:cstheme="minorHAnsi"/>
          <w:color w:val="222222"/>
          <w:sz w:val="24"/>
          <w:szCs w:val="24"/>
        </w:rPr>
        <w:t>s where</w:t>
      </w:r>
      <w:r w:rsidR="00517460" w:rsidRPr="00033370">
        <w:rPr>
          <w:rFonts w:cstheme="minorHAnsi"/>
          <w:color w:val="222222"/>
          <w:sz w:val="24"/>
          <w:szCs w:val="24"/>
        </w:rPr>
        <w:t xml:space="preserve"> debris/aggregates are present</w:t>
      </w:r>
    </w:p>
    <w:p w14:paraId="765A649E" w14:textId="1C3E7071" w:rsidR="00CE1B0D" w:rsidRPr="00033370" w:rsidRDefault="008044A9" w:rsidP="008044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trike/>
          <w:color w:val="222222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>Assess</w:t>
      </w:r>
      <w:r w:rsidR="00CE1B0D">
        <w:rPr>
          <w:rFonts w:cstheme="minorHAnsi"/>
          <w:bCs/>
          <w:color w:val="222222"/>
          <w:sz w:val="24"/>
          <w:szCs w:val="24"/>
        </w:rPr>
        <w:t>ing</w:t>
      </w:r>
      <w:r>
        <w:rPr>
          <w:rFonts w:cstheme="minorHAnsi"/>
          <w:bCs/>
          <w:color w:val="222222"/>
          <w:sz w:val="24"/>
          <w:szCs w:val="24"/>
        </w:rPr>
        <w:t xml:space="preserve"> the cell viability rate.</w:t>
      </w:r>
      <w:r>
        <w:rPr>
          <w:rFonts w:cstheme="minorHAnsi"/>
          <w:color w:val="222222"/>
          <w:sz w:val="24"/>
          <w:szCs w:val="24"/>
        </w:rPr>
        <w:t xml:space="preserve"> A minimum of 90% is required. </w:t>
      </w:r>
    </w:p>
    <w:p w14:paraId="04D2EE46" w14:textId="77777777" w:rsidR="00CE1B0D" w:rsidRPr="00033370" w:rsidRDefault="00CE1B0D" w:rsidP="000333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>P</w:t>
      </w:r>
      <w:r w:rsidRPr="00917C98">
        <w:rPr>
          <w:rFonts w:cstheme="minorHAnsi"/>
          <w:bCs/>
          <w:color w:val="222222"/>
          <w:sz w:val="24"/>
          <w:szCs w:val="24"/>
        </w:rPr>
        <w:t>erform</w:t>
      </w:r>
      <w:r>
        <w:rPr>
          <w:rFonts w:cstheme="minorHAnsi"/>
          <w:bCs/>
          <w:color w:val="222222"/>
          <w:sz w:val="24"/>
          <w:szCs w:val="24"/>
        </w:rPr>
        <w:t xml:space="preserve">ing </w:t>
      </w:r>
      <w:r w:rsidRPr="00917C98">
        <w:rPr>
          <w:rFonts w:cstheme="minorHAnsi"/>
          <w:bCs/>
          <w:color w:val="222222"/>
          <w:sz w:val="24"/>
          <w:szCs w:val="24"/>
        </w:rPr>
        <w:t xml:space="preserve">manual or automated cell counting. </w:t>
      </w:r>
      <w:r w:rsidR="00440D3E" w:rsidRPr="00033370">
        <w:rPr>
          <w:rFonts w:cstheme="minorHAnsi"/>
          <w:color w:val="222222"/>
          <w:sz w:val="24"/>
          <w:szCs w:val="24"/>
        </w:rPr>
        <w:t xml:space="preserve">The cell counting must be performed </w:t>
      </w:r>
      <w:r w:rsidR="00DD72DF" w:rsidRPr="00033370">
        <w:rPr>
          <w:rFonts w:cstheme="minorHAnsi"/>
          <w:color w:val="222222"/>
          <w:sz w:val="24"/>
          <w:szCs w:val="24"/>
        </w:rPr>
        <w:t>3-4</w:t>
      </w:r>
      <w:r w:rsidR="00440D3E" w:rsidRPr="00033370">
        <w:rPr>
          <w:rFonts w:cstheme="minorHAnsi"/>
          <w:color w:val="222222"/>
          <w:sz w:val="24"/>
          <w:szCs w:val="24"/>
        </w:rPr>
        <w:t xml:space="preserve"> times per sample. The standard deviation between these cell counts should be less than 25%.</w:t>
      </w:r>
    </w:p>
    <w:p w14:paraId="2B0BA40F" w14:textId="77777777" w:rsidR="00440D3E" w:rsidRDefault="00CE1B0D" w:rsidP="00CE1B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</w:rPr>
      </w:pPr>
      <w:r w:rsidRPr="00033370">
        <w:rPr>
          <w:rFonts w:cstheme="minorHAnsi"/>
          <w:color w:val="222222"/>
          <w:sz w:val="24"/>
          <w:szCs w:val="24"/>
        </w:rPr>
        <w:t xml:space="preserve">Preparing the final cell </w:t>
      </w:r>
      <w:r w:rsidR="00440D3E" w:rsidRPr="00033370">
        <w:rPr>
          <w:rFonts w:cstheme="minorHAnsi"/>
          <w:color w:val="222222"/>
          <w:sz w:val="24"/>
          <w:szCs w:val="24"/>
        </w:rPr>
        <w:t>suspension</w:t>
      </w:r>
      <w:r w:rsidRPr="00033370">
        <w:rPr>
          <w:rFonts w:cstheme="minorHAnsi"/>
          <w:color w:val="222222"/>
          <w:sz w:val="24"/>
          <w:szCs w:val="24"/>
        </w:rPr>
        <w:t>, which</w:t>
      </w:r>
      <w:r w:rsidR="00440D3E" w:rsidRPr="00033370">
        <w:rPr>
          <w:rFonts w:cstheme="minorHAnsi"/>
          <w:color w:val="222222"/>
          <w:sz w:val="24"/>
          <w:szCs w:val="24"/>
        </w:rPr>
        <w:t xml:space="preserve"> should be between 700-1200 cells/uL</w:t>
      </w:r>
      <w:r w:rsidR="00B17CA6" w:rsidRPr="00033370">
        <w:rPr>
          <w:rFonts w:cstheme="minorHAnsi"/>
          <w:color w:val="222222"/>
          <w:sz w:val="24"/>
          <w:szCs w:val="24"/>
        </w:rPr>
        <w:t>. Target 1</w:t>
      </w:r>
      <w:r w:rsidR="00606702" w:rsidRPr="00033370">
        <w:rPr>
          <w:rFonts w:cstheme="minorHAnsi"/>
          <w:color w:val="222222"/>
          <w:sz w:val="24"/>
          <w:szCs w:val="24"/>
        </w:rPr>
        <w:t>000 cells/</w:t>
      </w:r>
      <w:r w:rsidR="001F68F6">
        <w:rPr>
          <w:rFonts w:cstheme="minorHAnsi"/>
          <w:color w:val="222222"/>
          <w:sz w:val="24"/>
          <w:szCs w:val="24"/>
        </w:rPr>
        <w:t>ul</w:t>
      </w:r>
    </w:p>
    <w:p w14:paraId="78A1A8DD" w14:textId="77777777" w:rsidR="001F68F6" w:rsidRPr="00033370" w:rsidRDefault="001F68F6" w:rsidP="0003337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</w:rPr>
      </w:pPr>
    </w:p>
    <w:p w14:paraId="6CD8292F" w14:textId="77777777" w:rsidR="00517460" w:rsidRPr="00F176F9" w:rsidRDefault="00CE1B0D" w:rsidP="005174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472C4" w:themeColor="accent5"/>
          <w:sz w:val="24"/>
          <w:szCs w:val="24"/>
        </w:rPr>
      </w:pPr>
      <w:r w:rsidRPr="00F176F9">
        <w:rPr>
          <w:rFonts w:cstheme="minorHAnsi"/>
          <w:b/>
          <w:color w:val="4472C4" w:themeColor="accent5"/>
          <w:sz w:val="24"/>
          <w:szCs w:val="24"/>
        </w:rPr>
        <w:t xml:space="preserve">2. Time is of </w:t>
      </w:r>
      <w:r w:rsidR="008E4565">
        <w:rPr>
          <w:rFonts w:cstheme="minorHAnsi"/>
          <w:b/>
          <w:color w:val="4472C4" w:themeColor="accent5"/>
          <w:sz w:val="24"/>
          <w:szCs w:val="24"/>
        </w:rPr>
        <w:t xml:space="preserve">the </w:t>
      </w:r>
      <w:r w:rsidRPr="00F176F9">
        <w:rPr>
          <w:rFonts w:cstheme="minorHAnsi"/>
          <w:b/>
          <w:color w:val="4472C4" w:themeColor="accent5"/>
          <w:sz w:val="24"/>
          <w:szCs w:val="24"/>
        </w:rPr>
        <w:t xml:space="preserve">essence. </w:t>
      </w:r>
    </w:p>
    <w:p w14:paraId="3BB0D680" w14:textId="1BFAF426" w:rsidR="00CE1B0D" w:rsidRDefault="00CE1B0D" w:rsidP="00517460">
      <w:pPr>
        <w:autoSpaceDE w:val="0"/>
        <w:autoSpaceDN w:val="0"/>
        <w:adjustRightInd w:val="0"/>
        <w:spacing w:after="0" w:line="240" w:lineRule="auto"/>
        <w:rPr>
          <w:rFonts w:cstheme="minorHAnsi"/>
          <w:color w:val="4472C4" w:themeColor="accent5"/>
          <w:sz w:val="24"/>
          <w:szCs w:val="24"/>
        </w:rPr>
      </w:pPr>
      <w:r>
        <w:rPr>
          <w:rFonts w:cstheme="minorHAnsi"/>
          <w:color w:val="4472C4" w:themeColor="accent5"/>
          <w:sz w:val="24"/>
          <w:szCs w:val="24"/>
        </w:rPr>
        <w:t>The time from beginning cell</w:t>
      </w:r>
      <w:r w:rsidR="00F176F9">
        <w:rPr>
          <w:rFonts w:cstheme="minorHAnsi"/>
          <w:color w:val="4472C4" w:themeColor="accent5"/>
          <w:sz w:val="24"/>
          <w:szCs w:val="24"/>
        </w:rPr>
        <w:t>/nuclei</w:t>
      </w:r>
      <w:r>
        <w:rPr>
          <w:rFonts w:cstheme="minorHAnsi"/>
          <w:color w:val="4472C4" w:themeColor="accent5"/>
          <w:sz w:val="24"/>
          <w:szCs w:val="24"/>
        </w:rPr>
        <w:t xml:space="preserve"> suspension </w:t>
      </w:r>
      <w:r w:rsidR="008D37CD">
        <w:rPr>
          <w:rFonts w:cstheme="minorHAnsi"/>
          <w:color w:val="4472C4" w:themeColor="accent5"/>
          <w:sz w:val="24"/>
          <w:szCs w:val="24"/>
        </w:rPr>
        <w:t>to</w:t>
      </w:r>
      <w:r>
        <w:rPr>
          <w:rFonts w:cstheme="minorHAnsi"/>
          <w:color w:val="4472C4" w:themeColor="accent5"/>
          <w:sz w:val="24"/>
          <w:szCs w:val="24"/>
        </w:rPr>
        <w:t xml:space="preserve"> delivering them after conducting the above-mentioned steps should be as short as possible. Less than one hour is highly recommended. </w:t>
      </w:r>
    </w:p>
    <w:p w14:paraId="0A21D208" w14:textId="77777777" w:rsidR="00CE1B0D" w:rsidRPr="003603DE" w:rsidRDefault="00CE1B0D" w:rsidP="00517460">
      <w:pPr>
        <w:autoSpaceDE w:val="0"/>
        <w:autoSpaceDN w:val="0"/>
        <w:adjustRightInd w:val="0"/>
        <w:spacing w:after="0" w:line="240" w:lineRule="auto"/>
        <w:rPr>
          <w:rFonts w:cstheme="minorHAnsi"/>
          <w:color w:val="4472C4" w:themeColor="accent5"/>
          <w:sz w:val="24"/>
          <w:szCs w:val="24"/>
        </w:rPr>
      </w:pPr>
    </w:p>
    <w:p w14:paraId="4E83351A" w14:textId="77777777" w:rsidR="006F6CB0" w:rsidRPr="003603DE" w:rsidRDefault="008D37CD" w:rsidP="005174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5"/>
          <w:sz w:val="24"/>
          <w:szCs w:val="24"/>
        </w:rPr>
      </w:pPr>
      <w:r>
        <w:rPr>
          <w:rFonts w:cstheme="minorHAnsi"/>
          <w:b/>
          <w:bCs/>
          <w:color w:val="4472C4" w:themeColor="accent5"/>
          <w:sz w:val="24"/>
          <w:szCs w:val="24"/>
        </w:rPr>
        <w:t>3</w:t>
      </w:r>
      <w:r w:rsidR="00517460" w:rsidRPr="003603DE">
        <w:rPr>
          <w:rFonts w:cstheme="minorHAnsi"/>
          <w:b/>
          <w:bCs/>
          <w:color w:val="4472C4" w:themeColor="accent5"/>
          <w:sz w:val="24"/>
          <w:szCs w:val="24"/>
        </w:rPr>
        <w:t xml:space="preserve">. </w:t>
      </w:r>
      <w:r w:rsidR="00B17CA6" w:rsidRPr="003603DE">
        <w:rPr>
          <w:rFonts w:cstheme="minorHAnsi"/>
          <w:b/>
          <w:bCs/>
          <w:color w:val="4472C4" w:themeColor="accent5"/>
          <w:sz w:val="24"/>
          <w:szCs w:val="24"/>
        </w:rPr>
        <w:t>Cell suspension buffer</w:t>
      </w:r>
      <w:r w:rsidR="00230939" w:rsidRPr="003603DE">
        <w:rPr>
          <w:rFonts w:cstheme="minorHAnsi"/>
          <w:b/>
          <w:bCs/>
          <w:color w:val="4472C4" w:themeColor="accent5"/>
          <w:sz w:val="24"/>
          <w:szCs w:val="24"/>
        </w:rPr>
        <w:t>:</w:t>
      </w:r>
      <w:r w:rsidR="00517460" w:rsidRPr="003603DE">
        <w:rPr>
          <w:rFonts w:cstheme="minorHAnsi"/>
          <w:b/>
          <w:bCs/>
          <w:color w:val="4472C4" w:themeColor="accent5"/>
          <w:sz w:val="24"/>
          <w:szCs w:val="24"/>
        </w:rPr>
        <w:t xml:space="preserve"> </w:t>
      </w:r>
    </w:p>
    <w:p w14:paraId="1A990921" w14:textId="77777777" w:rsidR="00517460" w:rsidRPr="003603DE" w:rsidRDefault="00517460" w:rsidP="00517460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</w:rPr>
      </w:pPr>
      <w:r w:rsidRPr="003603DE">
        <w:rPr>
          <w:rFonts w:cstheme="minorHAnsi"/>
          <w:color w:val="222222"/>
          <w:sz w:val="24"/>
          <w:szCs w:val="24"/>
        </w:rPr>
        <w:t xml:space="preserve">Cells must be provided </w:t>
      </w:r>
      <w:r w:rsidR="009E5F94">
        <w:rPr>
          <w:rFonts w:cstheme="minorHAnsi"/>
          <w:color w:val="222222"/>
          <w:sz w:val="24"/>
          <w:szCs w:val="24"/>
        </w:rPr>
        <w:t xml:space="preserve">in the recommended buffer and </w:t>
      </w:r>
      <w:r w:rsidRPr="003603DE">
        <w:rPr>
          <w:rFonts w:cstheme="minorHAnsi"/>
          <w:color w:val="222222"/>
          <w:sz w:val="24"/>
          <w:szCs w:val="24"/>
        </w:rPr>
        <w:t>at their final intended concentration.</w:t>
      </w:r>
    </w:p>
    <w:p w14:paraId="7BFFF2ED" w14:textId="77777777" w:rsidR="007C21F0" w:rsidRPr="003603DE" w:rsidRDefault="00B17CA6" w:rsidP="00517460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</w:rPr>
      </w:pPr>
      <w:r w:rsidRPr="003603DE">
        <w:rPr>
          <w:rFonts w:cstheme="minorHAnsi"/>
          <w:color w:val="222222"/>
          <w:sz w:val="24"/>
          <w:szCs w:val="24"/>
        </w:rPr>
        <w:t>Customers</w:t>
      </w:r>
      <w:r w:rsidR="00517460" w:rsidRPr="003603DE">
        <w:rPr>
          <w:rFonts w:cstheme="minorHAnsi"/>
          <w:color w:val="222222"/>
          <w:sz w:val="24"/>
          <w:szCs w:val="24"/>
        </w:rPr>
        <w:t xml:space="preserve"> should provide information about th</w:t>
      </w:r>
      <w:r w:rsidRPr="003603DE">
        <w:rPr>
          <w:rFonts w:cstheme="minorHAnsi"/>
          <w:color w:val="222222"/>
          <w:sz w:val="24"/>
          <w:szCs w:val="24"/>
        </w:rPr>
        <w:t xml:space="preserve">e resuspension buffer used (the </w:t>
      </w:r>
      <w:r w:rsidR="00517460" w:rsidRPr="003603DE">
        <w:rPr>
          <w:rFonts w:cstheme="minorHAnsi"/>
          <w:color w:val="222222"/>
          <w:sz w:val="24"/>
          <w:szCs w:val="24"/>
        </w:rPr>
        <w:t xml:space="preserve">presence of EDTA or Mg will inhibit the RT reaction), and provide </w:t>
      </w:r>
      <w:r w:rsidRPr="003603DE">
        <w:rPr>
          <w:rFonts w:cstheme="minorHAnsi"/>
          <w:color w:val="222222"/>
          <w:sz w:val="24"/>
          <w:szCs w:val="24"/>
        </w:rPr>
        <w:t xml:space="preserve">extra buffer, in case the cell </w:t>
      </w:r>
      <w:r w:rsidR="00517460" w:rsidRPr="003603DE">
        <w:rPr>
          <w:rFonts w:cstheme="minorHAnsi"/>
          <w:color w:val="222222"/>
          <w:sz w:val="24"/>
          <w:szCs w:val="24"/>
        </w:rPr>
        <w:t>suspension needs to be washed or filtered, or the cell stock concentration adjusted.</w:t>
      </w:r>
      <w:r w:rsidR="0068025C" w:rsidRPr="003603DE">
        <w:rPr>
          <w:rFonts w:cstheme="minorHAnsi"/>
          <w:color w:val="222222"/>
          <w:sz w:val="24"/>
          <w:szCs w:val="24"/>
        </w:rPr>
        <w:t xml:space="preserve"> </w:t>
      </w:r>
    </w:p>
    <w:p w14:paraId="25177A4A" w14:textId="77777777" w:rsidR="00517460" w:rsidRPr="003603DE" w:rsidRDefault="0068025C" w:rsidP="007C21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</w:rPr>
      </w:pPr>
      <w:r w:rsidRPr="003603DE">
        <w:rPr>
          <w:rFonts w:cstheme="minorHAnsi"/>
          <w:color w:val="222222"/>
          <w:sz w:val="24"/>
          <w:szCs w:val="24"/>
        </w:rPr>
        <w:t>The recommended buffer is PBS with 0.04% BSA.</w:t>
      </w:r>
    </w:p>
    <w:p w14:paraId="10BB3D08" w14:textId="77777777" w:rsidR="00517460" w:rsidRPr="003603DE" w:rsidRDefault="00517460" w:rsidP="00517460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</w:rPr>
      </w:pPr>
    </w:p>
    <w:p w14:paraId="7A210EB4" w14:textId="77777777" w:rsidR="006F6CB0" w:rsidRPr="003603DE" w:rsidRDefault="008D37CD" w:rsidP="005174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5"/>
          <w:sz w:val="24"/>
          <w:szCs w:val="24"/>
        </w:rPr>
      </w:pPr>
      <w:r>
        <w:rPr>
          <w:rFonts w:cstheme="minorHAnsi"/>
          <w:b/>
          <w:bCs/>
          <w:color w:val="4472C4" w:themeColor="accent5"/>
          <w:sz w:val="24"/>
          <w:szCs w:val="24"/>
        </w:rPr>
        <w:t>4</w:t>
      </w:r>
      <w:r w:rsidR="00517460" w:rsidRPr="003603DE">
        <w:rPr>
          <w:rFonts w:cstheme="minorHAnsi"/>
          <w:b/>
          <w:bCs/>
          <w:color w:val="4472C4" w:themeColor="accent5"/>
          <w:sz w:val="24"/>
          <w:szCs w:val="24"/>
        </w:rPr>
        <w:t xml:space="preserve">. </w:t>
      </w:r>
      <w:r w:rsidR="00D8339C" w:rsidRPr="003603DE">
        <w:rPr>
          <w:rFonts w:cstheme="minorHAnsi"/>
          <w:b/>
          <w:bCs/>
          <w:color w:val="4472C4" w:themeColor="accent5"/>
          <w:sz w:val="24"/>
          <w:szCs w:val="24"/>
        </w:rPr>
        <w:t>Cell viability:</w:t>
      </w:r>
      <w:r w:rsidR="00517460" w:rsidRPr="003603DE">
        <w:rPr>
          <w:rFonts w:cstheme="minorHAnsi"/>
          <w:b/>
          <w:bCs/>
          <w:color w:val="4472C4" w:themeColor="accent5"/>
          <w:sz w:val="24"/>
          <w:szCs w:val="24"/>
        </w:rPr>
        <w:t xml:space="preserve"> </w:t>
      </w:r>
    </w:p>
    <w:p w14:paraId="613E1570" w14:textId="77777777" w:rsidR="00517460" w:rsidRPr="003603DE" w:rsidRDefault="001E16FF" w:rsidP="00517460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</w:rPr>
      </w:pPr>
      <w:r w:rsidRPr="003603DE">
        <w:rPr>
          <w:rFonts w:cstheme="minorHAnsi"/>
          <w:bCs/>
          <w:color w:val="222222"/>
          <w:sz w:val="24"/>
          <w:szCs w:val="24"/>
        </w:rPr>
        <w:t>Running cell suspension with a lower viability count will likely result in poor or failed library preparation.</w:t>
      </w:r>
      <w:r w:rsidR="00D8339C" w:rsidRPr="003603DE">
        <w:rPr>
          <w:rFonts w:cstheme="minorHAnsi"/>
          <w:bCs/>
          <w:color w:val="222222"/>
          <w:sz w:val="24"/>
          <w:szCs w:val="24"/>
        </w:rPr>
        <w:t xml:space="preserve"> </w:t>
      </w:r>
      <w:r w:rsidR="008B3F81" w:rsidRPr="003603DE">
        <w:rPr>
          <w:rFonts w:cstheme="minorHAnsi"/>
          <w:color w:val="222222"/>
          <w:sz w:val="24"/>
          <w:szCs w:val="24"/>
        </w:rPr>
        <w:t>It is critical</w:t>
      </w:r>
      <w:r w:rsidR="00517460" w:rsidRPr="003603DE">
        <w:rPr>
          <w:rFonts w:cstheme="minorHAnsi"/>
          <w:color w:val="222222"/>
          <w:sz w:val="24"/>
          <w:szCs w:val="24"/>
        </w:rPr>
        <w:t xml:space="preserve"> to understa</w:t>
      </w:r>
      <w:r w:rsidR="00D8339C" w:rsidRPr="003603DE">
        <w:rPr>
          <w:rFonts w:cstheme="minorHAnsi"/>
          <w:color w:val="222222"/>
          <w:sz w:val="24"/>
          <w:szCs w:val="24"/>
        </w:rPr>
        <w:t xml:space="preserve">nd that the QC during the </w:t>
      </w:r>
      <w:r w:rsidR="00197364" w:rsidRPr="003603DE">
        <w:rPr>
          <w:rFonts w:cstheme="minorHAnsi"/>
          <w:color w:val="222222"/>
          <w:sz w:val="24"/>
          <w:szCs w:val="24"/>
        </w:rPr>
        <w:t>library preparation</w:t>
      </w:r>
      <w:r w:rsidR="00D8339C" w:rsidRPr="003603DE">
        <w:rPr>
          <w:rFonts w:cstheme="minorHAnsi"/>
          <w:color w:val="222222"/>
          <w:sz w:val="24"/>
          <w:szCs w:val="24"/>
        </w:rPr>
        <w:t xml:space="preserve"> </w:t>
      </w:r>
      <w:r w:rsidR="00517460" w:rsidRPr="003603DE">
        <w:rPr>
          <w:rFonts w:cstheme="minorHAnsi"/>
          <w:color w:val="222222"/>
          <w:sz w:val="24"/>
          <w:szCs w:val="24"/>
        </w:rPr>
        <w:t xml:space="preserve">will not reveal how much of an impact viability had, and </w:t>
      </w:r>
      <w:r w:rsidR="008240DF" w:rsidRPr="003603DE">
        <w:rPr>
          <w:rFonts w:cstheme="minorHAnsi"/>
          <w:color w:val="222222"/>
          <w:sz w:val="24"/>
          <w:szCs w:val="24"/>
        </w:rPr>
        <w:t>customers</w:t>
      </w:r>
      <w:r w:rsidR="00517460" w:rsidRPr="003603DE">
        <w:rPr>
          <w:rFonts w:cstheme="minorHAnsi"/>
          <w:color w:val="222222"/>
          <w:sz w:val="24"/>
          <w:szCs w:val="24"/>
        </w:rPr>
        <w:t xml:space="preserve"> will have to sequenc</w:t>
      </w:r>
      <w:r w:rsidR="00D8339C" w:rsidRPr="003603DE">
        <w:rPr>
          <w:rFonts w:cstheme="minorHAnsi"/>
          <w:color w:val="222222"/>
          <w:sz w:val="24"/>
          <w:szCs w:val="24"/>
        </w:rPr>
        <w:t xml:space="preserve">e their libraries and only then </w:t>
      </w:r>
      <w:r w:rsidR="00517460" w:rsidRPr="003603DE">
        <w:rPr>
          <w:rFonts w:cstheme="minorHAnsi"/>
          <w:color w:val="222222"/>
          <w:sz w:val="24"/>
          <w:szCs w:val="24"/>
        </w:rPr>
        <w:t xml:space="preserve">find that </w:t>
      </w:r>
      <w:r w:rsidR="00E2326C" w:rsidRPr="003603DE">
        <w:rPr>
          <w:rFonts w:cstheme="minorHAnsi"/>
          <w:color w:val="222222"/>
          <w:sz w:val="24"/>
          <w:szCs w:val="24"/>
        </w:rPr>
        <w:t>the</w:t>
      </w:r>
      <w:r w:rsidR="00517460" w:rsidRPr="003603DE">
        <w:rPr>
          <w:rFonts w:cstheme="minorHAnsi"/>
          <w:color w:val="222222"/>
          <w:sz w:val="24"/>
          <w:szCs w:val="24"/>
        </w:rPr>
        <w:t xml:space="preserve"> data may be impacted.</w:t>
      </w:r>
      <w:r w:rsidR="008D37CD">
        <w:rPr>
          <w:rFonts w:cstheme="minorHAnsi"/>
          <w:color w:val="222222"/>
          <w:sz w:val="24"/>
          <w:szCs w:val="24"/>
        </w:rPr>
        <w:t xml:space="preserve"> If the customers choose to proceed with below recommendation viability, they will be charged for all work being done regardless of the outcomes of the experiment.</w:t>
      </w:r>
    </w:p>
    <w:p w14:paraId="25C941E1" w14:textId="77777777" w:rsidR="00517460" w:rsidRPr="003603DE" w:rsidRDefault="00606702" w:rsidP="006067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</w:rPr>
      </w:pPr>
      <w:r w:rsidRPr="003603DE">
        <w:rPr>
          <w:rFonts w:cstheme="minorHAnsi"/>
          <w:bCs/>
          <w:color w:val="222222"/>
          <w:sz w:val="24"/>
          <w:szCs w:val="24"/>
        </w:rPr>
        <w:t xml:space="preserve">The viability of the cell suspension should be above </w:t>
      </w:r>
      <w:r w:rsidR="006B1C9D" w:rsidRPr="003603DE">
        <w:rPr>
          <w:rFonts w:cstheme="minorHAnsi"/>
          <w:bCs/>
          <w:color w:val="222222"/>
          <w:sz w:val="24"/>
          <w:szCs w:val="24"/>
        </w:rPr>
        <w:t>9</w:t>
      </w:r>
      <w:r w:rsidRPr="003603DE">
        <w:rPr>
          <w:rFonts w:cstheme="minorHAnsi"/>
          <w:bCs/>
          <w:color w:val="222222"/>
          <w:sz w:val="24"/>
          <w:szCs w:val="24"/>
        </w:rPr>
        <w:t>0%.</w:t>
      </w:r>
    </w:p>
    <w:p w14:paraId="34F12690" w14:textId="77777777" w:rsidR="00517460" w:rsidRPr="003603DE" w:rsidRDefault="00517460" w:rsidP="00517460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</w:rPr>
      </w:pPr>
    </w:p>
    <w:p w14:paraId="22612347" w14:textId="77777777" w:rsidR="006F6CB0" w:rsidRPr="003603DE" w:rsidRDefault="008D37CD" w:rsidP="005C0C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5"/>
          <w:sz w:val="24"/>
          <w:szCs w:val="24"/>
        </w:rPr>
      </w:pPr>
      <w:r>
        <w:rPr>
          <w:rFonts w:cstheme="minorHAnsi"/>
          <w:b/>
          <w:bCs/>
          <w:color w:val="4472C4" w:themeColor="accent5"/>
          <w:sz w:val="24"/>
          <w:szCs w:val="24"/>
        </w:rPr>
        <w:t>5</w:t>
      </w:r>
      <w:r w:rsidR="005C0C4E" w:rsidRPr="003603DE">
        <w:rPr>
          <w:rFonts w:cstheme="minorHAnsi"/>
          <w:b/>
          <w:bCs/>
          <w:color w:val="4472C4" w:themeColor="accent5"/>
          <w:sz w:val="24"/>
          <w:szCs w:val="24"/>
        </w:rPr>
        <w:t xml:space="preserve">. Scheduling and submission times: </w:t>
      </w:r>
    </w:p>
    <w:p w14:paraId="039320C8" w14:textId="226C4DBC" w:rsidR="005C0C4E" w:rsidRPr="003603DE" w:rsidRDefault="008D37CD" w:rsidP="005C0C4E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Customers MUST schedule time to deliver their samples at least </w:t>
      </w:r>
      <w:r w:rsidRPr="00033370">
        <w:rPr>
          <w:rFonts w:cstheme="minorHAnsi"/>
          <w:color w:val="222222"/>
          <w:sz w:val="24"/>
          <w:szCs w:val="24"/>
          <w:u w:val="single"/>
        </w:rPr>
        <w:t>two weeks</w:t>
      </w:r>
      <w:r>
        <w:rPr>
          <w:rFonts w:cstheme="minorHAnsi"/>
          <w:color w:val="222222"/>
          <w:sz w:val="24"/>
          <w:szCs w:val="24"/>
        </w:rPr>
        <w:t xml:space="preserve"> in advance. This is to be sure that we are ready to processes the samples as soon as they arrive</w:t>
      </w:r>
      <w:r w:rsidR="005C0C4E" w:rsidRPr="003603DE">
        <w:rPr>
          <w:rFonts w:cstheme="minorHAnsi"/>
          <w:color w:val="222222"/>
          <w:sz w:val="24"/>
          <w:szCs w:val="24"/>
        </w:rPr>
        <w:t xml:space="preserve">. </w:t>
      </w:r>
      <w:r w:rsidR="005C0C4E" w:rsidRPr="003603DE">
        <w:rPr>
          <w:rFonts w:cstheme="minorHAnsi"/>
          <w:bCs/>
          <w:color w:val="222222"/>
          <w:sz w:val="24"/>
          <w:szCs w:val="24"/>
        </w:rPr>
        <w:t xml:space="preserve">In order to complete the first part of the library preparation and reach a safe stopping point, we will need to have the cell suspension dropped off at or by </w:t>
      </w:r>
      <w:r w:rsidR="005C0C4E" w:rsidRPr="00033370">
        <w:rPr>
          <w:rFonts w:cstheme="minorHAnsi"/>
          <w:b/>
          <w:color w:val="222222"/>
          <w:sz w:val="24"/>
          <w:szCs w:val="24"/>
          <w:u w:val="single"/>
        </w:rPr>
        <w:t>11am</w:t>
      </w:r>
      <w:r w:rsidR="005C0C4E" w:rsidRPr="003603DE">
        <w:rPr>
          <w:rFonts w:cstheme="minorHAnsi"/>
          <w:bCs/>
          <w:color w:val="222222"/>
          <w:sz w:val="24"/>
          <w:szCs w:val="24"/>
        </w:rPr>
        <w:t xml:space="preserve"> on the </w:t>
      </w:r>
      <w:r w:rsidR="00DA573B">
        <w:rPr>
          <w:rFonts w:cstheme="minorHAnsi"/>
          <w:bCs/>
          <w:color w:val="222222"/>
          <w:sz w:val="24"/>
          <w:szCs w:val="24"/>
        </w:rPr>
        <w:t>scheduled day</w:t>
      </w:r>
      <w:r w:rsidR="005C0C4E" w:rsidRPr="003603DE">
        <w:rPr>
          <w:rFonts w:cstheme="minorHAnsi"/>
          <w:bCs/>
          <w:color w:val="222222"/>
          <w:sz w:val="24"/>
          <w:szCs w:val="24"/>
        </w:rPr>
        <w:t xml:space="preserve">. </w:t>
      </w:r>
      <w:r w:rsidR="00AD4BA1" w:rsidRPr="003603DE">
        <w:rPr>
          <w:rFonts w:cstheme="minorHAnsi"/>
          <w:bCs/>
          <w:color w:val="222222"/>
          <w:sz w:val="24"/>
          <w:szCs w:val="24"/>
        </w:rPr>
        <w:t xml:space="preserve">Customers will need to </w:t>
      </w:r>
      <w:r w:rsidR="00DA573B">
        <w:rPr>
          <w:rFonts w:cstheme="minorHAnsi"/>
          <w:bCs/>
          <w:color w:val="222222"/>
          <w:sz w:val="24"/>
          <w:szCs w:val="24"/>
        </w:rPr>
        <w:t xml:space="preserve">provide all information mentioned </w:t>
      </w:r>
      <w:r w:rsidR="00C75459">
        <w:rPr>
          <w:rFonts w:cstheme="minorHAnsi"/>
          <w:bCs/>
          <w:color w:val="222222"/>
          <w:sz w:val="24"/>
          <w:szCs w:val="24"/>
        </w:rPr>
        <w:t xml:space="preserve">above </w:t>
      </w:r>
      <w:r w:rsidR="00DA573B">
        <w:rPr>
          <w:rFonts w:cstheme="minorHAnsi"/>
          <w:bCs/>
          <w:color w:val="222222"/>
          <w:sz w:val="24"/>
          <w:szCs w:val="24"/>
        </w:rPr>
        <w:t xml:space="preserve">in # 1. </w:t>
      </w:r>
      <w:r w:rsidR="00DA573B" w:rsidRPr="003603DE">
        <w:rPr>
          <w:rFonts w:cstheme="minorHAnsi"/>
          <w:bCs/>
          <w:color w:val="222222"/>
          <w:sz w:val="24"/>
          <w:szCs w:val="24"/>
        </w:rPr>
        <w:t xml:space="preserve"> </w:t>
      </w:r>
    </w:p>
    <w:p w14:paraId="3E5D3ECC" w14:textId="77777777" w:rsidR="005C0C4E" w:rsidRPr="003603DE" w:rsidRDefault="005C0C4E" w:rsidP="00517460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</w:rPr>
      </w:pPr>
    </w:p>
    <w:p w14:paraId="1A3EDD0C" w14:textId="77777777" w:rsidR="006F6CB0" w:rsidRPr="003603DE" w:rsidRDefault="008D37CD" w:rsidP="001970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b/>
          <w:bCs/>
          <w:color w:val="4472C4" w:themeColor="accent5"/>
          <w:sz w:val="24"/>
          <w:szCs w:val="24"/>
        </w:rPr>
        <w:t>6</w:t>
      </w:r>
      <w:r w:rsidR="00517460" w:rsidRPr="003603DE">
        <w:rPr>
          <w:rFonts w:cstheme="minorHAnsi"/>
          <w:b/>
          <w:bCs/>
          <w:color w:val="4472C4" w:themeColor="accent5"/>
          <w:sz w:val="24"/>
          <w:szCs w:val="24"/>
        </w:rPr>
        <w:t xml:space="preserve">. </w:t>
      </w:r>
      <w:r w:rsidR="00EE0220" w:rsidRPr="003603DE">
        <w:rPr>
          <w:rFonts w:cstheme="minorHAnsi"/>
          <w:b/>
          <w:bCs/>
          <w:color w:val="4472C4" w:themeColor="accent5"/>
          <w:sz w:val="24"/>
          <w:szCs w:val="24"/>
        </w:rPr>
        <w:t>Full</w:t>
      </w:r>
      <w:r w:rsidR="00517460" w:rsidRPr="003603DE">
        <w:rPr>
          <w:rFonts w:cstheme="minorHAnsi"/>
          <w:b/>
          <w:bCs/>
          <w:color w:val="4472C4" w:themeColor="accent5"/>
          <w:sz w:val="24"/>
          <w:szCs w:val="24"/>
        </w:rPr>
        <w:t xml:space="preserve"> consultation before preparing samples for 10x runs</w:t>
      </w:r>
      <w:r w:rsidR="00197050" w:rsidRPr="003603DE">
        <w:rPr>
          <w:rFonts w:cstheme="minorHAnsi"/>
          <w:b/>
          <w:bCs/>
          <w:color w:val="222222"/>
          <w:sz w:val="24"/>
          <w:szCs w:val="24"/>
        </w:rPr>
        <w:t>:</w:t>
      </w:r>
      <w:r w:rsidR="00517460" w:rsidRPr="003603DE">
        <w:rPr>
          <w:rFonts w:cstheme="minorHAnsi"/>
          <w:b/>
          <w:bCs/>
          <w:color w:val="222222"/>
          <w:sz w:val="24"/>
          <w:szCs w:val="24"/>
        </w:rPr>
        <w:t xml:space="preserve"> </w:t>
      </w:r>
    </w:p>
    <w:p w14:paraId="78B2CD07" w14:textId="77777777" w:rsidR="00517460" w:rsidRPr="003603DE" w:rsidRDefault="00AE4A21" w:rsidP="00197050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</w:rPr>
      </w:pPr>
      <w:r w:rsidRPr="003603DE">
        <w:rPr>
          <w:rFonts w:cstheme="minorHAnsi"/>
          <w:color w:val="222222"/>
          <w:sz w:val="24"/>
          <w:szCs w:val="24"/>
        </w:rPr>
        <w:t xml:space="preserve">Prior to starting a </w:t>
      </w:r>
      <w:r w:rsidR="00DA573B">
        <w:rPr>
          <w:rFonts w:cstheme="minorHAnsi"/>
          <w:color w:val="222222"/>
          <w:sz w:val="24"/>
          <w:szCs w:val="24"/>
        </w:rPr>
        <w:t xml:space="preserve">scRNAseq </w:t>
      </w:r>
      <w:r w:rsidRPr="003603DE">
        <w:rPr>
          <w:rFonts w:cstheme="minorHAnsi"/>
          <w:color w:val="222222"/>
          <w:sz w:val="24"/>
          <w:szCs w:val="24"/>
        </w:rPr>
        <w:t xml:space="preserve">experiment, we highly recommend </w:t>
      </w:r>
      <w:r w:rsidR="006A0DEB" w:rsidRPr="003603DE">
        <w:rPr>
          <w:rFonts w:cstheme="minorHAnsi"/>
          <w:color w:val="222222"/>
          <w:sz w:val="24"/>
          <w:szCs w:val="24"/>
        </w:rPr>
        <w:t xml:space="preserve">scheduling </w:t>
      </w:r>
      <w:r w:rsidRPr="003603DE">
        <w:rPr>
          <w:rFonts w:cstheme="minorHAnsi"/>
          <w:color w:val="222222"/>
          <w:sz w:val="24"/>
          <w:szCs w:val="24"/>
        </w:rPr>
        <w:t>a consultation</w:t>
      </w:r>
      <w:r w:rsidR="00DA573B">
        <w:rPr>
          <w:rFonts w:cstheme="minorHAnsi"/>
          <w:color w:val="222222"/>
          <w:sz w:val="24"/>
          <w:szCs w:val="24"/>
        </w:rPr>
        <w:t xml:space="preserve"> meeting</w:t>
      </w:r>
      <w:r w:rsidRPr="003603DE">
        <w:rPr>
          <w:rFonts w:cstheme="minorHAnsi"/>
          <w:color w:val="222222"/>
          <w:sz w:val="24"/>
          <w:szCs w:val="24"/>
        </w:rPr>
        <w:t>. I</w:t>
      </w:r>
      <w:r w:rsidR="00517460" w:rsidRPr="003603DE">
        <w:rPr>
          <w:rFonts w:cstheme="minorHAnsi"/>
          <w:color w:val="222222"/>
          <w:sz w:val="24"/>
          <w:szCs w:val="24"/>
        </w:rPr>
        <w:t xml:space="preserve">t is critical that </w:t>
      </w:r>
      <w:r w:rsidRPr="003603DE">
        <w:rPr>
          <w:rFonts w:cstheme="minorHAnsi"/>
          <w:color w:val="222222"/>
          <w:sz w:val="24"/>
          <w:szCs w:val="24"/>
        </w:rPr>
        <w:t xml:space="preserve">customers understand the </w:t>
      </w:r>
      <w:r w:rsidR="00517460" w:rsidRPr="003603DE">
        <w:rPr>
          <w:rFonts w:cstheme="minorHAnsi"/>
          <w:color w:val="222222"/>
          <w:sz w:val="24"/>
          <w:szCs w:val="24"/>
        </w:rPr>
        <w:t xml:space="preserve">sample requirements for </w:t>
      </w:r>
      <w:r w:rsidRPr="003603DE">
        <w:rPr>
          <w:rFonts w:cstheme="minorHAnsi"/>
          <w:color w:val="222222"/>
          <w:sz w:val="24"/>
          <w:szCs w:val="24"/>
        </w:rPr>
        <w:t>the 10X</w:t>
      </w:r>
      <w:r w:rsidR="00197050" w:rsidRPr="003603DE">
        <w:rPr>
          <w:rFonts w:cstheme="minorHAnsi"/>
          <w:color w:val="222222"/>
          <w:sz w:val="24"/>
          <w:szCs w:val="24"/>
        </w:rPr>
        <w:t xml:space="preserve"> </w:t>
      </w:r>
      <w:r w:rsidR="00517460" w:rsidRPr="003603DE">
        <w:rPr>
          <w:rFonts w:cstheme="minorHAnsi"/>
          <w:color w:val="222222"/>
          <w:sz w:val="24"/>
          <w:szCs w:val="24"/>
        </w:rPr>
        <w:t>platform, as well as the recommended sequencin</w:t>
      </w:r>
      <w:r w:rsidR="00197050" w:rsidRPr="003603DE">
        <w:rPr>
          <w:rFonts w:cstheme="minorHAnsi"/>
          <w:color w:val="222222"/>
          <w:sz w:val="24"/>
          <w:szCs w:val="24"/>
        </w:rPr>
        <w:t xml:space="preserve">g depth. </w:t>
      </w:r>
      <w:r w:rsidR="00EF5522" w:rsidRPr="003603DE">
        <w:rPr>
          <w:rFonts w:cstheme="minorHAnsi"/>
          <w:color w:val="222222"/>
          <w:sz w:val="24"/>
          <w:szCs w:val="24"/>
        </w:rPr>
        <w:t>Customers</w:t>
      </w:r>
      <w:r w:rsidR="00197050" w:rsidRPr="003603DE">
        <w:rPr>
          <w:rFonts w:cstheme="minorHAnsi"/>
          <w:color w:val="222222"/>
          <w:sz w:val="24"/>
          <w:szCs w:val="24"/>
        </w:rPr>
        <w:t xml:space="preserve"> will also need to </w:t>
      </w:r>
      <w:r w:rsidR="00517460" w:rsidRPr="003603DE">
        <w:rPr>
          <w:rFonts w:cstheme="minorHAnsi"/>
          <w:color w:val="222222"/>
          <w:sz w:val="24"/>
          <w:szCs w:val="24"/>
        </w:rPr>
        <w:t xml:space="preserve">decide how many samples and how many cells </w:t>
      </w:r>
      <w:r w:rsidR="00EF5522" w:rsidRPr="003603DE">
        <w:rPr>
          <w:rFonts w:cstheme="minorHAnsi"/>
          <w:color w:val="222222"/>
          <w:sz w:val="24"/>
          <w:szCs w:val="24"/>
        </w:rPr>
        <w:t>are needed to run</w:t>
      </w:r>
      <w:r w:rsidR="00197050" w:rsidRPr="003603DE">
        <w:rPr>
          <w:rFonts w:cstheme="minorHAnsi"/>
          <w:color w:val="222222"/>
          <w:sz w:val="24"/>
          <w:szCs w:val="24"/>
        </w:rPr>
        <w:t>.</w:t>
      </w:r>
    </w:p>
    <w:p w14:paraId="7E70842B" w14:textId="77777777" w:rsidR="00E052E2" w:rsidRPr="003603DE" w:rsidRDefault="00E052E2" w:rsidP="00197050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</w:rPr>
      </w:pPr>
    </w:p>
    <w:p w14:paraId="3D8B64ED" w14:textId="77777777" w:rsidR="001F2C51" w:rsidRPr="003603DE" w:rsidRDefault="001F2C51" w:rsidP="001970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603DE">
        <w:rPr>
          <w:rFonts w:cstheme="minorHAnsi"/>
          <w:b/>
        </w:rPr>
        <w:t>Tips:</w:t>
      </w:r>
    </w:p>
    <w:p w14:paraId="27ABA2F4" w14:textId="79ED8ADD" w:rsidR="00517460" w:rsidRDefault="00517460" w:rsidP="008A74CB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</w:rPr>
      </w:pPr>
      <w:r w:rsidRPr="003603DE">
        <w:rPr>
          <w:rFonts w:cstheme="minorHAnsi"/>
          <w:color w:val="222222"/>
        </w:rPr>
        <w:t xml:space="preserve">• </w:t>
      </w:r>
      <w:r w:rsidR="001F2C51" w:rsidRPr="003603DE">
        <w:rPr>
          <w:rFonts w:cstheme="minorHAnsi"/>
          <w:color w:val="222222"/>
        </w:rPr>
        <w:t>The</w:t>
      </w:r>
      <w:r w:rsidRPr="003603DE">
        <w:rPr>
          <w:rFonts w:cstheme="minorHAnsi"/>
          <w:color w:val="222222"/>
        </w:rPr>
        <w:t xml:space="preserve"> key to the assay is intact, viable cells. </w:t>
      </w:r>
      <w:r w:rsidR="00396235" w:rsidRPr="003603DE">
        <w:rPr>
          <w:rFonts w:cstheme="minorHAnsi"/>
          <w:color w:val="222222"/>
        </w:rPr>
        <w:t>Customers</w:t>
      </w:r>
      <w:r w:rsidRPr="003603DE">
        <w:rPr>
          <w:rFonts w:cstheme="minorHAnsi"/>
          <w:color w:val="222222"/>
        </w:rPr>
        <w:t xml:space="preserve"> may want </w:t>
      </w:r>
      <w:r w:rsidR="001F2C51" w:rsidRPr="003603DE">
        <w:rPr>
          <w:rFonts w:cstheme="minorHAnsi"/>
          <w:color w:val="222222"/>
        </w:rPr>
        <w:t>to review the</w:t>
      </w:r>
      <w:r w:rsidRPr="003603DE">
        <w:rPr>
          <w:rFonts w:cstheme="minorHAnsi"/>
          <w:color w:val="222222"/>
        </w:rPr>
        <w:t xml:space="preserve"> </w:t>
      </w:r>
      <w:r w:rsidR="00B17EA9" w:rsidRPr="003603DE">
        <w:rPr>
          <w:rFonts w:cstheme="minorHAnsi"/>
        </w:rPr>
        <w:t xml:space="preserve">Cell Preparation </w:t>
      </w:r>
      <w:r w:rsidRPr="003603DE">
        <w:rPr>
          <w:rFonts w:cstheme="minorHAnsi"/>
        </w:rPr>
        <w:t>Guide</w:t>
      </w:r>
      <w:r w:rsidR="00AD429F" w:rsidRPr="003603DE">
        <w:rPr>
          <w:rFonts w:cstheme="minorHAnsi"/>
        </w:rPr>
        <w:t xml:space="preserve">: </w:t>
      </w:r>
      <w:hyperlink r:id="rId5" w:history="1">
        <w:r w:rsidR="00AD429F" w:rsidRPr="003603DE">
          <w:rPr>
            <w:rStyle w:val="Hyperlink"/>
            <w:rFonts w:cstheme="minorHAnsi"/>
          </w:rPr>
          <w:t>https://support.10xgenomics.com/single-cell-gene-expression/sample-prep/doc/demonstrated-protocol-single-cell-protocols-cell-preparation-guide</w:t>
        </w:r>
      </w:hyperlink>
    </w:p>
    <w:p w14:paraId="0D70C5FA" w14:textId="004D86E0" w:rsidR="00F176F9" w:rsidRDefault="00F176F9" w:rsidP="00F176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</w:rPr>
      </w:pPr>
      <w:r>
        <w:rPr>
          <w:rFonts w:cstheme="minorHAnsi"/>
          <w:color w:val="222222"/>
        </w:rPr>
        <w:t>For scATACseq, please review the nuclei isolation protocol:</w:t>
      </w:r>
    </w:p>
    <w:p w14:paraId="393BE00B" w14:textId="33EC7098" w:rsidR="00F176F9" w:rsidRDefault="00223058" w:rsidP="00F176F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</w:rPr>
      </w:pPr>
      <w:hyperlink r:id="rId6" w:history="1">
        <w:r w:rsidR="00F176F9" w:rsidRPr="00C11900">
          <w:rPr>
            <w:rStyle w:val="Hyperlink"/>
            <w:rFonts w:cstheme="minorHAnsi"/>
          </w:rPr>
          <w:t>https://support.10xgenomics.com/single-cell-atac/sample-prep/doc/demonstrated-protocol-nuclei-isolation-for-single-cell-atac-sequencing</w:t>
        </w:r>
      </w:hyperlink>
    </w:p>
    <w:p w14:paraId="1B82E8E5" w14:textId="77777777" w:rsidR="00F176F9" w:rsidRPr="00F176F9" w:rsidRDefault="00F176F9" w:rsidP="00F176F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</w:rPr>
      </w:pPr>
    </w:p>
    <w:p w14:paraId="7E972FB9" w14:textId="77777777" w:rsidR="00517460" w:rsidRPr="003603DE" w:rsidRDefault="00517460" w:rsidP="008A74CB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</w:rPr>
      </w:pPr>
      <w:r w:rsidRPr="003603DE">
        <w:rPr>
          <w:rFonts w:cstheme="minorHAnsi"/>
          <w:color w:val="222222"/>
        </w:rPr>
        <w:t xml:space="preserve">• </w:t>
      </w:r>
      <w:r w:rsidRPr="003603DE">
        <w:rPr>
          <w:rFonts w:cstheme="minorHAnsi"/>
          <w:b/>
          <w:bCs/>
          <w:i/>
          <w:iCs/>
          <w:color w:val="222222"/>
        </w:rPr>
        <w:t xml:space="preserve">Never </w:t>
      </w:r>
      <w:r w:rsidRPr="003603DE">
        <w:rPr>
          <w:rFonts w:cstheme="minorHAnsi"/>
          <w:color w:val="222222"/>
        </w:rPr>
        <w:t>have the first experiment with a new cell type be with a scarce or precious sample.</w:t>
      </w:r>
    </w:p>
    <w:p w14:paraId="090EB82F" w14:textId="2FEEDEFE" w:rsidR="00517460" w:rsidRPr="003603DE" w:rsidRDefault="00517460" w:rsidP="008A74CB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</w:rPr>
      </w:pPr>
      <w:r w:rsidRPr="003603DE">
        <w:rPr>
          <w:rFonts w:cstheme="minorHAnsi"/>
          <w:color w:val="222222"/>
        </w:rPr>
        <w:t xml:space="preserve">• </w:t>
      </w:r>
      <w:r w:rsidR="001F2C51" w:rsidRPr="003603DE">
        <w:rPr>
          <w:rFonts w:cstheme="minorHAnsi"/>
          <w:color w:val="222222"/>
        </w:rPr>
        <w:t>If</w:t>
      </w:r>
      <w:r w:rsidRPr="003603DE">
        <w:rPr>
          <w:rFonts w:cstheme="minorHAnsi"/>
          <w:color w:val="222222"/>
        </w:rPr>
        <w:t xml:space="preserve"> viability looks poor on the day of their experiment</w:t>
      </w:r>
      <w:r w:rsidR="00DA573B">
        <w:rPr>
          <w:rFonts w:cstheme="minorHAnsi"/>
          <w:color w:val="222222"/>
        </w:rPr>
        <w:t xml:space="preserve">, feel free to cancel and reschedule. We </w:t>
      </w:r>
      <w:r w:rsidR="00C75459">
        <w:rPr>
          <w:rFonts w:cstheme="minorHAnsi"/>
          <w:color w:val="222222"/>
        </w:rPr>
        <w:t xml:space="preserve">completely </w:t>
      </w:r>
      <w:r w:rsidR="00DA573B">
        <w:rPr>
          <w:rFonts w:cstheme="minorHAnsi"/>
          <w:color w:val="222222"/>
        </w:rPr>
        <w:t>understand</w:t>
      </w:r>
      <w:r w:rsidR="008B6AC4" w:rsidRPr="003603DE">
        <w:rPr>
          <w:rFonts w:cstheme="minorHAnsi"/>
          <w:color w:val="222222"/>
        </w:rPr>
        <w:t>.</w:t>
      </w:r>
    </w:p>
    <w:p w14:paraId="14BC8CD0" w14:textId="77777777" w:rsidR="003A2C30" w:rsidRPr="003603DE" w:rsidRDefault="00517460" w:rsidP="008A74CB">
      <w:pPr>
        <w:rPr>
          <w:rFonts w:cstheme="minorHAnsi"/>
        </w:rPr>
      </w:pPr>
      <w:r w:rsidRPr="003603DE">
        <w:rPr>
          <w:rFonts w:cstheme="minorHAnsi"/>
          <w:color w:val="222222"/>
        </w:rPr>
        <w:t xml:space="preserve">• </w:t>
      </w:r>
      <w:r w:rsidR="00324F02" w:rsidRPr="003603DE">
        <w:rPr>
          <w:rFonts w:cstheme="minorHAnsi"/>
          <w:color w:val="222222"/>
        </w:rPr>
        <w:t>We r</w:t>
      </w:r>
      <w:r w:rsidRPr="003603DE">
        <w:rPr>
          <w:rFonts w:cstheme="minorHAnsi"/>
          <w:color w:val="222222"/>
        </w:rPr>
        <w:t xml:space="preserve">ecommend dry runs where </w:t>
      </w:r>
      <w:r w:rsidR="00001E04" w:rsidRPr="003603DE">
        <w:rPr>
          <w:rFonts w:cstheme="minorHAnsi"/>
          <w:color w:val="222222"/>
        </w:rPr>
        <w:t>customers</w:t>
      </w:r>
      <w:r w:rsidRPr="003603DE">
        <w:rPr>
          <w:rFonts w:cstheme="minorHAnsi"/>
          <w:color w:val="222222"/>
        </w:rPr>
        <w:t xml:space="preserve"> perfect </w:t>
      </w:r>
      <w:r w:rsidR="00324F02" w:rsidRPr="003603DE">
        <w:rPr>
          <w:rFonts w:cstheme="minorHAnsi"/>
          <w:color w:val="222222"/>
        </w:rPr>
        <w:t>their cell preparation protocol prior to a full prep with sequencing.</w:t>
      </w:r>
    </w:p>
    <w:sectPr w:rsidR="003A2C30" w:rsidRPr="00360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E11"/>
    <w:multiLevelType w:val="hybridMultilevel"/>
    <w:tmpl w:val="187E180A"/>
    <w:lvl w:ilvl="0" w:tplc="1884EB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738DE"/>
    <w:multiLevelType w:val="hybridMultilevel"/>
    <w:tmpl w:val="D902A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BC2265"/>
    <w:multiLevelType w:val="hybridMultilevel"/>
    <w:tmpl w:val="915290B4"/>
    <w:lvl w:ilvl="0" w:tplc="1884EB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60"/>
    <w:rsid w:val="00001E04"/>
    <w:rsid w:val="00033370"/>
    <w:rsid w:val="000369E9"/>
    <w:rsid w:val="00113DCA"/>
    <w:rsid w:val="001708DA"/>
    <w:rsid w:val="00181361"/>
    <w:rsid w:val="00197050"/>
    <w:rsid w:val="00197364"/>
    <w:rsid w:val="001E16FF"/>
    <w:rsid w:val="001F2C51"/>
    <w:rsid w:val="001F68F6"/>
    <w:rsid w:val="00223058"/>
    <w:rsid w:val="00230939"/>
    <w:rsid w:val="002360E2"/>
    <w:rsid w:val="00250225"/>
    <w:rsid w:val="00264179"/>
    <w:rsid w:val="00297379"/>
    <w:rsid w:val="002C02A1"/>
    <w:rsid w:val="002E319F"/>
    <w:rsid w:val="003212C4"/>
    <w:rsid w:val="00324F02"/>
    <w:rsid w:val="00356733"/>
    <w:rsid w:val="003603DE"/>
    <w:rsid w:val="00366B3A"/>
    <w:rsid w:val="00396235"/>
    <w:rsid w:val="003A17A5"/>
    <w:rsid w:val="003C6CDD"/>
    <w:rsid w:val="00405FD5"/>
    <w:rsid w:val="00425F07"/>
    <w:rsid w:val="00440D3E"/>
    <w:rsid w:val="004D05B0"/>
    <w:rsid w:val="00517460"/>
    <w:rsid w:val="005600A5"/>
    <w:rsid w:val="005C0C4E"/>
    <w:rsid w:val="005E6CAB"/>
    <w:rsid w:val="00606702"/>
    <w:rsid w:val="0068025C"/>
    <w:rsid w:val="006866F8"/>
    <w:rsid w:val="00687CDB"/>
    <w:rsid w:val="006A0DEB"/>
    <w:rsid w:val="006B1C9D"/>
    <w:rsid w:val="006F6CB0"/>
    <w:rsid w:val="0078752E"/>
    <w:rsid w:val="007C21F0"/>
    <w:rsid w:val="008044A9"/>
    <w:rsid w:val="00821AB0"/>
    <w:rsid w:val="008240DF"/>
    <w:rsid w:val="008300F9"/>
    <w:rsid w:val="008A74CB"/>
    <w:rsid w:val="008B3F81"/>
    <w:rsid w:val="008B6AC4"/>
    <w:rsid w:val="008D37CD"/>
    <w:rsid w:val="008E4565"/>
    <w:rsid w:val="00903144"/>
    <w:rsid w:val="009A36C0"/>
    <w:rsid w:val="009A398B"/>
    <w:rsid w:val="009B17C9"/>
    <w:rsid w:val="009B5297"/>
    <w:rsid w:val="009E5F94"/>
    <w:rsid w:val="00AD429F"/>
    <w:rsid w:val="00AD4BA1"/>
    <w:rsid w:val="00AE4A21"/>
    <w:rsid w:val="00B17CA6"/>
    <w:rsid w:val="00B17EA9"/>
    <w:rsid w:val="00B946A1"/>
    <w:rsid w:val="00C75459"/>
    <w:rsid w:val="00CE1B0D"/>
    <w:rsid w:val="00CE1F43"/>
    <w:rsid w:val="00D2646C"/>
    <w:rsid w:val="00D3620B"/>
    <w:rsid w:val="00D8339C"/>
    <w:rsid w:val="00DA573B"/>
    <w:rsid w:val="00DD22BF"/>
    <w:rsid w:val="00DD72DF"/>
    <w:rsid w:val="00E052E2"/>
    <w:rsid w:val="00E2326C"/>
    <w:rsid w:val="00E3775B"/>
    <w:rsid w:val="00EA6DEA"/>
    <w:rsid w:val="00EE0220"/>
    <w:rsid w:val="00EF5522"/>
    <w:rsid w:val="00F11763"/>
    <w:rsid w:val="00F176F9"/>
    <w:rsid w:val="00F83162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14CB"/>
  <w15:chartTrackingRefBased/>
  <w15:docId w15:val="{78DE67D3-5C98-4B89-B0C9-49ECE323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2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1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9F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7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10xgenomics.com/single-cell-atac/sample-prep/doc/demonstrated-protocol-nuclei-isolation-for-single-cell-atac-sequencing" TargetMode="External"/><Relationship Id="rId5" Type="http://schemas.openxmlformats.org/officeDocument/2006/relationships/hyperlink" Target="https://support.10xgenomics.com/single-cell-gene-expression/sample-prep/doc/demonstrated-protocol-single-cell-protocols-cell-preparation-gu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Portocarrero</dc:creator>
  <cp:keywords/>
  <dc:description/>
  <cp:lastModifiedBy>Elizabeth Ashworth</cp:lastModifiedBy>
  <cp:revision>2</cp:revision>
  <dcterms:created xsi:type="dcterms:W3CDTF">2020-06-26T17:25:00Z</dcterms:created>
  <dcterms:modified xsi:type="dcterms:W3CDTF">2020-06-26T17:25:00Z</dcterms:modified>
</cp:coreProperties>
</file>